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eastAsia="zh-CN"/>
        </w:rPr>
      </w:pPr>
      <w:bookmarkStart w:id="13" w:name="_GoBack"/>
      <w:r>
        <w:rPr>
          <w:rFonts w:hint="eastAsia" w:asciiTheme="majorEastAsia" w:hAnsiTheme="majorEastAsia" w:eastAsiaTheme="majorEastAsia"/>
          <w:b/>
          <w:sz w:val="44"/>
          <w:szCs w:val="44"/>
        </w:rPr>
        <w:t>遂昌县灵山港流域智慧管护数字化应用系统采购项目补充修改公告</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一</w:t>
      </w:r>
      <w:r>
        <w:rPr>
          <w:rFonts w:hint="eastAsia" w:asciiTheme="majorEastAsia" w:hAnsiTheme="majorEastAsia" w:eastAsiaTheme="majorEastAsia"/>
          <w:b/>
          <w:sz w:val="44"/>
          <w:szCs w:val="44"/>
          <w:lang w:eastAsia="zh-CN"/>
        </w:rPr>
        <w:t>）</w:t>
      </w:r>
      <w:bookmarkEnd w:id="13"/>
    </w:p>
    <w:tbl>
      <w:tblPr>
        <w:tblStyle w:val="9"/>
        <w:tblW w:w="7452" w:type="dxa"/>
        <w:jc w:val="center"/>
        <w:tblLayout w:type="fixed"/>
        <w:tblCellMar>
          <w:top w:w="0" w:type="dxa"/>
          <w:left w:w="108" w:type="dxa"/>
          <w:bottom w:w="0" w:type="dxa"/>
          <w:right w:w="108" w:type="dxa"/>
        </w:tblCellMar>
      </w:tblPr>
      <w:tblGrid>
        <w:gridCol w:w="2453"/>
        <w:gridCol w:w="4999"/>
      </w:tblGrid>
      <w:tr>
        <w:tblPrEx>
          <w:tblCellMar>
            <w:top w:w="0" w:type="dxa"/>
            <w:left w:w="108" w:type="dxa"/>
            <w:bottom w:w="0" w:type="dxa"/>
            <w:right w:w="108" w:type="dxa"/>
          </w:tblCellMar>
        </w:tblPrEx>
        <w:trPr>
          <w:trHeight w:val="737" w:hRule="atLeast"/>
          <w:jc w:val="center"/>
        </w:trPr>
        <w:tc>
          <w:tcPr>
            <w:tcW w:w="2453" w:type="dxa"/>
            <w:vAlign w:val="center"/>
          </w:tcPr>
          <w:p>
            <w:pPr>
              <w:ind w:right="-109" w:rightChars="-52"/>
              <w:jc w:val="center"/>
              <w:rPr>
                <w:rFonts w:ascii="仿宋" w:hAnsi="仿宋" w:eastAsia="仿宋" w:cs="仿宋"/>
                <w:color w:val="000000" w:themeColor="text1"/>
                <w:sz w:val="32"/>
                <w:szCs w:val="32"/>
                <w14:textFill>
                  <w14:solidFill>
                    <w14:schemeClr w14:val="tx1"/>
                  </w14:solidFill>
                </w14:textFill>
              </w:rPr>
            </w:pPr>
            <w:bookmarkStart w:id="0" w:name="_Toc493956012"/>
            <w:bookmarkStart w:id="1" w:name="_Toc493928402"/>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项目编号：</w:t>
            </w:r>
            <w:bookmarkEnd w:id="0"/>
            <w:bookmarkEnd w:id="1"/>
          </w:p>
        </w:tc>
        <w:tc>
          <w:tcPr>
            <w:tcW w:w="4999"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LSHF-ZFCG2022-001</w:t>
            </w:r>
          </w:p>
        </w:tc>
      </w:tr>
    </w:tbl>
    <w:p>
      <w:pPr>
        <w:pStyle w:val="8"/>
        <w:spacing w:before="0" w:beforeAutospacing="0" w:after="0" w:afterAutospacing="0" w:line="460" w:lineRule="exact"/>
        <w:rPr>
          <w:rFonts w:ascii="仿宋_GB2312" w:eastAsia="仿宋_GB2312" w:cs="仿宋_GB2312"/>
          <w:color w:val="auto"/>
          <w:sz w:val="28"/>
          <w:szCs w:val="28"/>
        </w:rPr>
      </w:pPr>
      <w:r>
        <w:rPr>
          <w:rFonts w:hint="eastAsia" w:cs="宋体"/>
          <w:b/>
          <w:bCs/>
          <w:color w:val="auto"/>
          <w:sz w:val="21"/>
          <w:szCs w:val="21"/>
        </w:rPr>
        <w:t>各潜在投标人：</w:t>
      </w:r>
    </w:p>
    <w:p>
      <w:pPr>
        <w:pStyle w:val="8"/>
        <w:spacing w:before="0" w:beforeAutospacing="0" w:after="0" w:afterAutospacing="0" w:line="500" w:lineRule="exact"/>
        <w:rPr>
          <w:rFonts w:cs="宋体"/>
          <w:color w:val="auto"/>
          <w:sz w:val="21"/>
          <w:szCs w:val="21"/>
        </w:rPr>
      </w:pPr>
      <w:r>
        <w:rPr>
          <w:rFonts w:hint="eastAsia" w:cs="宋体"/>
          <w:color w:val="auto"/>
          <w:sz w:val="21"/>
          <w:szCs w:val="21"/>
        </w:rPr>
        <w:t xml:space="preserve">  根据招标人要求，现对遂招标文件-遂昌县灵山港流域智慧管护数字化应用系统采购项目补充修改如下： </w:t>
      </w:r>
    </w:p>
    <w:p>
      <w:pPr>
        <w:pStyle w:val="8"/>
        <w:spacing w:before="0" w:beforeAutospacing="0" w:after="0" w:afterAutospacing="0" w:line="500" w:lineRule="exact"/>
        <w:ind w:firstLine="420"/>
        <w:rPr>
          <w:rFonts w:ascii="仿宋_GB2312" w:cs="仿宋_GB2312"/>
          <w:b/>
          <w:color w:val="auto"/>
          <w:sz w:val="28"/>
          <w:szCs w:val="28"/>
        </w:rPr>
      </w:pPr>
      <w:r>
        <w:rPr>
          <w:rFonts w:hint="eastAsia" w:cs="宋体"/>
          <w:b/>
          <w:color w:val="auto"/>
          <w:sz w:val="21"/>
          <w:szCs w:val="21"/>
        </w:rPr>
        <w:t>一、招标文件第</w:t>
      </w:r>
      <w:r>
        <w:rPr>
          <w:rFonts w:cs="宋体"/>
          <w:b/>
          <w:color w:val="auto"/>
          <w:sz w:val="21"/>
          <w:szCs w:val="21"/>
        </w:rPr>
        <w:t>5</w:t>
      </w:r>
      <w:r>
        <w:rPr>
          <w:rFonts w:hint="eastAsia" w:cs="宋体"/>
          <w:b/>
          <w:color w:val="auto"/>
          <w:sz w:val="21"/>
          <w:szCs w:val="21"/>
        </w:rPr>
        <w:t>页：“招标公告”中，</w:t>
      </w:r>
    </w:p>
    <w:p>
      <w:pPr>
        <w:pStyle w:val="8"/>
        <w:spacing w:before="0" w:beforeAutospacing="0" w:after="0" w:afterAutospacing="0" w:line="500" w:lineRule="exact"/>
        <w:ind w:firstLine="420"/>
        <w:rPr>
          <w:rFonts w:cs="宋体"/>
          <w:b/>
          <w:color w:val="auto"/>
          <w:sz w:val="21"/>
          <w:szCs w:val="21"/>
        </w:rPr>
      </w:pPr>
      <w:r>
        <w:rPr>
          <w:rFonts w:hint="eastAsia" w:cs="宋体"/>
          <w:b/>
          <w:color w:val="auto"/>
          <w:sz w:val="21"/>
          <w:szCs w:val="21"/>
        </w:rPr>
        <w:t>原来为：</w:t>
      </w:r>
    </w:p>
    <w:p>
      <w:pPr>
        <w:pStyle w:val="15"/>
        <w:numPr>
          <w:ilvl w:val="1"/>
          <w:numId w:val="2"/>
        </w:numPr>
        <w:spacing w:before="156" w:after="156"/>
        <w:ind w:left="0" w:firstLine="0"/>
        <w:rPr>
          <w:color w:val="000000" w:themeColor="text1"/>
          <w14:textFill>
            <w14:solidFill>
              <w14:schemeClr w14:val="tx1"/>
            </w14:solidFill>
          </w14:textFill>
        </w:rPr>
      </w:pPr>
      <w:bookmarkStart w:id="2" w:name="_Toc109573286"/>
      <w:r>
        <w:rPr>
          <w:rFonts w:hint="eastAsia"/>
          <w:color w:val="000000" w:themeColor="text1"/>
          <w14:textFill>
            <w14:solidFill>
              <w14:schemeClr w14:val="tx1"/>
            </w14:solidFill>
          </w14:textFill>
        </w:rPr>
        <w:t xml:space="preserve"> 项目背景</w:t>
      </w:r>
    </w:p>
    <w:p>
      <w:pPr>
        <w:pStyle w:val="20"/>
        <w:spacing w:line="360" w:lineRule="auto"/>
        <w:ind w:firstLine="720" w:firstLineChars="300"/>
        <w:rPr>
          <w:rFonts w:ascii="仿宋" w:hAnsi="仿宋" w:cs="仿宋"/>
          <w:bCs/>
          <w:color w:val="000000" w:themeColor="text1"/>
          <w:kern w:val="0"/>
          <w:sz w:val="24"/>
          <w:szCs w:val="24"/>
          <w14:textFill>
            <w14:solidFill>
              <w14:schemeClr w14:val="tx1"/>
            </w14:solidFill>
          </w14:textFill>
        </w:rPr>
      </w:pPr>
      <w:r>
        <w:rPr>
          <w:rFonts w:hint="eastAsia" w:ascii="仿宋" w:hAnsi="仿宋" w:cs="仿宋"/>
          <w:bCs/>
          <w:color w:val="000000" w:themeColor="text1"/>
          <w:kern w:val="0"/>
          <w:sz w:val="24"/>
          <w:szCs w:val="24"/>
          <w14:textFill>
            <w14:solidFill>
              <w14:schemeClr w14:val="tx1"/>
            </w14:solidFill>
          </w14:textFill>
        </w:rPr>
        <w:t>习近平总书记2019年考察黄河时，指出“建设造福人民的幸福河”。按照水利部幸福河湖试点建设要求（全国共7个、全省唯一），借助浙江省数字化改革浪潮，坚持问题导向，聚焦当前幸福河湖的痛点、堵点、难点，建设遂昌县灵山港流域智慧管护数字化应用系统。</w:t>
      </w:r>
    </w:p>
    <w:p>
      <w:pPr>
        <w:pStyle w:val="20"/>
        <w:spacing w:line="360" w:lineRule="auto"/>
        <w:ind w:firstLine="720" w:firstLineChars="300"/>
        <w:rPr>
          <w:rFonts w:ascii="仿宋" w:hAnsi="仿宋" w:cs="仿宋"/>
          <w:bCs/>
          <w:color w:val="000000" w:themeColor="text1"/>
          <w:kern w:val="0"/>
          <w:sz w:val="24"/>
          <w:szCs w:val="24"/>
          <w14:textFill>
            <w14:solidFill>
              <w14:schemeClr w14:val="tx1"/>
            </w14:solidFill>
          </w14:textFill>
        </w:rPr>
      </w:pPr>
      <w:r>
        <w:rPr>
          <w:rFonts w:hint="eastAsia" w:ascii="仿宋" w:hAnsi="仿宋" w:cs="仿宋"/>
          <w:bCs/>
          <w:color w:val="000000" w:themeColor="text1"/>
          <w:kern w:val="0"/>
          <w:sz w:val="24"/>
          <w:szCs w:val="24"/>
          <w14:textFill>
            <w14:solidFill>
              <w14:schemeClr w14:val="tx1"/>
            </w14:solidFill>
          </w14:textFill>
        </w:rPr>
        <w:t>2022年7月，浙江省水利厅、省美丽浙江建设领导小组河长制办公室、浙江省财政厅根据《水利部办公厅关于印送幸福河湖建设实施方案审查意见的函》，组织审查了《浙江省灵山港幸福河湖建设实施方案》并下达关于灵山港幸福河湖建设实施方案的批复，统一实施方案提出的总体布局和建设目标，同意实施方案提出的建设内容。</w:t>
      </w:r>
      <w:bookmarkEnd w:id="2"/>
    </w:p>
    <w:p>
      <w:pPr>
        <w:pStyle w:val="20"/>
        <w:spacing w:line="360" w:lineRule="auto"/>
        <w:ind w:firstLine="480"/>
        <w:rPr>
          <w:rFonts w:ascii="仿宋" w:hAnsi="仿宋" w:cs="仿宋"/>
          <w:bCs/>
          <w:color w:val="000000" w:themeColor="text1"/>
          <w:kern w:val="0"/>
          <w:sz w:val="24"/>
          <w:szCs w:val="24"/>
          <w14:textFill>
            <w14:solidFill>
              <w14:schemeClr w14:val="tx1"/>
            </w14:solidFill>
          </w14:textFill>
        </w:rPr>
      </w:pPr>
      <w:r>
        <w:rPr>
          <w:rFonts w:hint="eastAsia" w:ascii="仿宋" w:hAnsi="仿宋" w:cs="仿宋"/>
          <w:bCs/>
          <w:color w:val="000000" w:themeColor="text1"/>
          <w:kern w:val="0"/>
          <w:sz w:val="24"/>
          <w:szCs w:val="24"/>
          <w14:textFill>
            <w14:solidFill>
              <w14:schemeClr w14:val="tx1"/>
            </w14:solidFill>
          </w14:textFill>
        </w:rPr>
        <w:t>《浙江省灵山港幸福河湖建设实施方案》中灵山港源头河道治理、北界镇桃源生态修复工程等源头生态保护，灵山港幸福河湖智慧管护、灵山港智慧管护等数字灵山港为《遂昌县水系连通及水美乡村项目——灵山港流域》项目。</w:t>
      </w:r>
    </w:p>
    <w:p>
      <w:pPr>
        <w:pStyle w:val="20"/>
        <w:spacing w:line="360" w:lineRule="auto"/>
        <w:ind w:firstLine="480"/>
        <w:rPr>
          <w:rFonts w:hint="eastAsia" w:ascii="仿宋" w:hAnsi="仿宋" w:cs="仿宋"/>
          <w:bCs/>
          <w:color w:val="000000" w:themeColor="text1"/>
          <w:kern w:val="0"/>
          <w:sz w:val="24"/>
          <w:szCs w:val="24"/>
          <w14:textFill>
            <w14:solidFill>
              <w14:schemeClr w14:val="tx1"/>
            </w14:solidFill>
          </w14:textFill>
        </w:rPr>
      </w:pPr>
    </w:p>
    <w:p>
      <w:pPr>
        <w:pStyle w:val="8"/>
        <w:spacing w:before="0" w:beforeAutospacing="0" w:after="0" w:afterAutospacing="0" w:line="500" w:lineRule="exact"/>
        <w:rPr>
          <w:rFonts w:cs="宋体"/>
          <w:b/>
          <w:color w:val="auto"/>
          <w:sz w:val="21"/>
          <w:szCs w:val="21"/>
        </w:rPr>
      </w:pPr>
      <w:r>
        <w:rPr>
          <w:rFonts w:hint="eastAsia" w:cs="宋体"/>
          <w:b/>
          <w:color w:val="auto"/>
          <w:sz w:val="21"/>
          <w:szCs w:val="21"/>
        </w:rPr>
        <w:t xml:space="preserve"> </w:t>
      </w:r>
      <w:r>
        <w:rPr>
          <w:rFonts w:cs="宋体"/>
          <w:b/>
          <w:color w:val="auto"/>
          <w:sz w:val="21"/>
          <w:szCs w:val="21"/>
        </w:rPr>
        <w:t xml:space="preserve">  现改为：</w:t>
      </w:r>
    </w:p>
    <w:p>
      <w:pPr>
        <w:pStyle w:val="15"/>
        <w:numPr>
          <w:ilvl w:val="1"/>
          <w:numId w:val="3"/>
        </w:numPr>
        <w:spacing w:before="156" w:after="156"/>
        <w:rPr>
          <w:color w:val="000000" w:themeColor="text1"/>
          <w14:textFill>
            <w14:solidFill>
              <w14:schemeClr w14:val="tx1"/>
            </w14:solidFill>
          </w14:textFill>
        </w:rPr>
      </w:pPr>
      <w:bookmarkStart w:id="3" w:name="_Toc110449749"/>
      <w:r>
        <w:rPr>
          <w:rFonts w:hint="eastAsia"/>
          <w:color w:val="000000" w:themeColor="text1"/>
          <w14:textFill>
            <w14:solidFill>
              <w14:schemeClr w14:val="tx1"/>
            </w14:solidFill>
          </w14:textFill>
        </w:rPr>
        <w:t>项目背景</w:t>
      </w:r>
      <w:bookmarkEnd w:id="3"/>
    </w:p>
    <w:p>
      <w:pPr>
        <w:pStyle w:val="20"/>
        <w:spacing w:line="360" w:lineRule="auto"/>
        <w:ind w:firstLine="720" w:firstLineChars="300"/>
        <w:rPr>
          <w:rFonts w:ascii="仿宋" w:hAnsi="仿宋" w:cs="仿宋"/>
          <w:bCs/>
          <w:color w:val="000000" w:themeColor="text1"/>
          <w:kern w:val="0"/>
          <w:sz w:val="24"/>
          <w:szCs w:val="24"/>
          <w14:textFill>
            <w14:solidFill>
              <w14:schemeClr w14:val="tx1"/>
            </w14:solidFill>
          </w14:textFill>
        </w:rPr>
      </w:pPr>
      <w:r>
        <w:rPr>
          <w:rFonts w:hint="eastAsia" w:ascii="仿宋" w:hAnsi="仿宋" w:cs="仿宋"/>
          <w:bCs/>
          <w:color w:val="000000" w:themeColor="text1"/>
          <w:kern w:val="0"/>
          <w:sz w:val="24"/>
          <w:szCs w:val="24"/>
          <w14:textFill>
            <w14:solidFill>
              <w14:schemeClr w14:val="tx1"/>
            </w14:solidFill>
          </w14:textFill>
        </w:rPr>
        <w:t>习近平总书记2019年考察黄河时，指出“建设造福人民的幸福河”。按照水利部幸福河湖试点建设要求（全国共7个、全省唯一），借助浙江省数字化改革浪潮，坚持问题导向，聚焦当前幸福河湖的痛点、堵点、难点，建设遂昌县灵山港流域智慧管护数字化应用系统。</w:t>
      </w:r>
    </w:p>
    <w:p>
      <w:pPr>
        <w:pStyle w:val="20"/>
        <w:spacing w:line="360" w:lineRule="auto"/>
        <w:ind w:firstLine="720" w:firstLineChars="300"/>
        <w:rPr>
          <w:rFonts w:hint="eastAsia" w:cs="宋体"/>
          <w:color w:val="auto"/>
          <w:sz w:val="21"/>
          <w:szCs w:val="21"/>
        </w:rPr>
      </w:pPr>
      <w:r>
        <w:rPr>
          <w:rFonts w:hint="eastAsia" w:ascii="仿宋" w:hAnsi="仿宋" w:cs="仿宋"/>
          <w:bCs/>
          <w:color w:val="000000" w:themeColor="text1"/>
          <w:kern w:val="0"/>
          <w:sz w:val="24"/>
          <w:szCs w:val="24"/>
          <w14:textFill>
            <w14:solidFill>
              <w14:schemeClr w14:val="tx1"/>
            </w14:solidFill>
          </w14:textFill>
        </w:rPr>
        <w:t>2022年7月，浙江省水利厅、省美丽浙江建设领导小组河长制办公室、浙江省财政厅根据《水利部办公厅关于印送幸福河湖建设实施方案审查意见的函》，组织审查了《浙江省灵山港幸福河湖建设实施方案》并下达关于灵山港幸福河湖建设实施方案的批复，统一实施方案提出的总体布局和建设目标，同意实施方案提出的建设内容，批复同意建设灵山港流域智慧管护数字化应用系统，打造流域一张图、水域监管、岸线管控等场景应用。</w:t>
      </w:r>
    </w:p>
    <w:p>
      <w:pPr>
        <w:pStyle w:val="8"/>
        <w:spacing w:before="0" w:beforeAutospacing="0" w:after="0" w:afterAutospacing="0" w:line="500" w:lineRule="exact"/>
        <w:ind w:firstLine="420"/>
        <w:rPr>
          <w:rFonts w:ascii="仿宋_GB2312" w:cs="仿宋_GB2312"/>
          <w:b/>
          <w:color w:val="auto"/>
          <w:sz w:val="28"/>
          <w:szCs w:val="28"/>
        </w:rPr>
      </w:pPr>
      <w:r>
        <w:rPr>
          <w:rFonts w:hint="eastAsia" w:cs="宋体"/>
          <w:b/>
          <w:color w:val="auto"/>
          <w:sz w:val="21"/>
          <w:szCs w:val="21"/>
        </w:rPr>
        <w:t>二、招标文件第</w:t>
      </w:r>
      <w:r>
        <w:rPr>
          <w:rFonts w:cs="宋体"/>
          <w:b/>
          <w:color w:val="auto"/>
          <w:sz w:val="21"/>
          <w:szCs w:val="21"/>
        </w:rPr>
        <w:t>5</w:t>
      </w:r>
      <w:r>
        <w:rPr>
          <w:rFonts w:hint="eastAsia" w:cs="宋体"/>
          <w:b/>
          <w:color w:val="auto"/>
          <w:sz w:val="21"/>
          <w:szCs w:val="21"/>
        </w:rPr>
        <w:t>页：“招标公告”中，</w:t>
      </w:r>
    </w:p>
    <w:p>
      <w:pPr>
        <w:pStyle w:val="8"/>
        <w:spacing w:before="0" w:beforeAutospacing="0" w:after="0" w:afterAutospacing="0" w:line="500" w:lineRule="exact"/>
        <w:ind w:firstLine="420"/>
        <w:rPr>
          <w:rFonts w:cs="宋体"/>
          <w:b/>
          <w:color w:val="auto"/>
          <w:sz w:val="21"/>
          <w:szCs w:val="21"/>
        </w:rPr>
      </w:pPr>
      <w:r>
        <w:rPr>
          <w:rFonts w:hint="eastAsia" w:cs="宋体"/>
          <w:b/>
          <w:color w:val="auto"/>
          <w:sz w:val="21"/>
          <w:szCs w:val="21"/>
        </w:rPr>
        <w:t>原来为：</w:t>
      </w:r>
    </w:p>
    <w:p>
      <w:pPr>
        <w:pStyle w:val="17"/>
        <w:numPr>
          <w:ilvl w:val="2"/>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详细需求内容</w:t>
      </w:r>
    </w:p>
    <w:p>
      <w:pPr>
        <w:pStyle w:val="1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硬件需求内容</w:t>
      </w:r>
    </w:p>
    <w:tbl>
      <w:tblPr>
        <w:tblStyle w:val="9"/>
        <w:tblW w:w="9356" w:type="dxa"/>
        <w:tblInd w:w="-5" w:type="dxa"/>
        <w:tblLayout w:type="autofit"/>
        <w:tblCellMar>
          <w:top w:w="0" w:type="dxa"/>
          <w:left w:w="108" w:type="dxa"/>
          <w:bottom w:w="0" w:type="dxa"/>
          <w:right w:w="108" w:type="dxa"/>
        </w:tblCellMar>
      </w:tblPr>
      <w:tblGrid>
        <w:gridCol w:w="440"/>
        <w:gridCol w:w="2268"/>
        <w:gridCol w:w="6648"/>
      </w:tblGrid>
      <w:tr>
        <w:tblPrEx>
          <w:tblCellMar>
            <w:top w:w="0" w:type="dxa"/>
            <w:left w:w="108" w:type="dxa"/>
            <w:bottom w:w="0" w:type="dxa"/>
            <w:right w:w="108" w:type="dxa"/>
          </w:tblCellMar>
        </w:tblPrEx>
        <w:trPr>
          <w:trHeight w:val="596" w:hRule="atLeast"/>
        </w:trPr>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编号</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采购内容</w:t>
            </w:r>
          </w:p>
        </w:tc>
        <w:tc>
          <w:tcPr>
            <w:tcW w:w="6648" w:type="dxa"/>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r>
      <w:tr>
        <w:tblPrEx>
          <w:tblCellMar>
            <w:top w:w="0" w:type="dxa"/>
            <w:left w:w="108" w:type="dxa"/>
            <w:bottom w:w="0" w:type="dxa"/>
            <w:right w:w="108" w:type="dxa"/>
          </w:tblCellMar>
        </w:tblPrEx>
        <w:trPr>
          <w:trHeight w:val="278" w:hRule="atLeast"/>
        </w:trPr>
        <w:tc>
          <w:tcPr>
            <w:tcW w:w="440" w:type="dxa"/>
            <w:tcBorders>
              <w:top w:val="nil"/>
              <w:left w:val="single" w:color="auto" w:sz="4" w:space="0"/>
              <w:bottom w:val="single" w:color="auto" w:sz="4" w:space="0"/>
              <w:right w:val="single" w:color="auto" w:sz="4" w:space="0"/>
            </w:tcBorders>
            <w:shd w:val="clear" w:color="000000" w:fill="DDEBF7"/>
            <w:noWrap/>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一</w:t>
            </w:r>
          </w:p>
        </w:tc>
        <w:tc>
          <w:tcPr>
            <w:tcW w:w="2268"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视频监控系统</w:t>
            </w:r>
          </w:p>
        </w:tc>
        <w:tc>
          <w:tcPr>
            <w:tcW w:w="6648"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高速红外智能球机</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支持深度学习算法，提供精准的人车分类侦测、报警、联动跟踪；支持声光警戒；报警联动白光闪烁报警和声音报警，声音内容可选支持区域入侵侦测、越界侦测、进入区域侦测和离开区域侦等智能侦测并联动跟踪；支持切换为人脸抓拍模式，最大同时抓拍5张人脸</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2、采用高效补光阵列，低功耗，白光补光不低于30 m，红外补光不低于150 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3、内置加热玻璃，有效除雾</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、最低照度: 彩色：0.005 Lux @（F1.5，AGC ON），黑白：0.001 Lux @（F1.5， AGC ON）；0 Lux with IR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、宽动态: 120 dB超宽动态</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6、焦距: 5.9~188.8 mm，32倍光学变倍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7、视场角: 60.2~2.3度（广角~望远）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8</w:t>
            </w:r>
            <w:r>
              <w:rPr>
                <w:rFonts w:hint="eastAsia" w:ascii="仿宋" w:hAnsi="仿宋" w:eastAsia="仿宋"/>
                <w:color w:val="000000" w:themeColor="text1"/>
                <w:sz w:val="22"/>
                <w:szCs w:val="22"/>
                <w14:textFill>
                  <w14:solidFill>
                    <w14:schemeClr w14:val="tx1"/>
                  </w14:solidFill>
                </w14:textFill>
              </w:rPr>
              <w:t>、主码流帧率分辨率: 50Hz：25 fps（2560 × 1440）；60Hz：30 fps（2560 × 1440）</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9</w:t>
            </w:r>
            <w:r>
              <w:rPr>
                <w:rFonts w:hint="eastAsia" w:ascii="仿宋" w:hAnsi="仿宋" w:eastAsia="仿宋"/>
                <w:color w:val="000000" w:themeColor="text1"/>
                <w:sz w:val="22"/>
                <w:szCs w:val="22"/>
                <w14:textFill>
                  <w14:solidFill>
                    <w14:schemeClr w14:val="tx1"/>
                  </w14:solidFill>
                </w14:textFill>
              </w:rPr>
              <w:t>、视频压缩标准: H.265，H.264，MJPEG</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防护: IP66</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0</w:t>
            </w:r>
            <w:r>
              <w:rPr>
                <w:rFonts w:hint="eastAsia" w:ascii="仿宋" w:hAnsi="仿宋" w:eastAsia="仿宋"/>
                <w:color w:val="000000" w:themeColor="text1"/>
                <w:sz w:val="22"/>
                <w:szCs w:val="22"/>
                <w14:textFill>
                  <w14:solidFill>
                    <w14:schemeClr w14:val="tx1"/>
                  </w14:solidFill>
                </w14:textFill>
              </w:rPr>
              <w:t>、需具备智能分析抗干扰功能，当篮球、小狗、树叶等非人或车辆目标经过检测区域时，不会触发报警。（公安部检验报告证明）</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、支持快捷配置功能，可在预览画面开启/关闭“快捷配置”页面，对曝光参数、OSD、智能资源分配模式等参数进行配置，并可一键恢复为默认设置。（公安部检验报告证明）</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、支持像素显示功能，可实时显示监控画面上选定区域的水平像素大小和垂直像素大小。（公安部检验报告证明）</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监控安装支架</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电源适配器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防水控制箱</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二合一防雷器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电源部分：额定电压24VAC，最大持续运行电压30VAC，额定工作电流1A；网络部分：额定电压5V，最大持续运行电压6VAC，额定电流200mA</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w:t>
            </w:r>
          </w:p>
        </w:tc>
        <w:tc>
          <w:tcPr>
            <w:tcW w:w="226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高空监控租用（三年）</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租用铁塔公司高位监控</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外置音柱</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1、广播采样率：8KHz～48KHz；</w:t>
            </w:r>
          </w:p>
          <w:p>
            <w:pPr>
              <w:pStyle w:val="14"/>
              <w:ind w:firstLine="440" w:firstLineChars="20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量化位数：16bit</w:t>
            </w:r>
          </w:p>
          <w:p>
            <w:pPr>
              <w:pStyle w:val="14"/>
              <w:ind w:firstLine="440" w:firstLineChars="20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信噪比：≥90dB；灵敏度：90dB</w:t>
            </w:r>
          </w:p>
          <w:p>
            <w:pPr>
              <w:pStyle w:val="14"/>
              <w:ind w:firstLine="440" w:firstLineChars="20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频率响应：100Hz-16KHz</w:t>
            </w:r>
          </w:p>
          <w:p>
            <w:pPr>
              <w:pStyle w:val="14"/>
              <w:ind w:firstLine="440" w:firstLineChars="20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音频压缩标准：/G.711U/G.711A/MP3</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2、一体壁挂式室外防水设计、整合网络音频解码，数字功放及音箱；</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 支持通过远程IP网络（局域网/公网）、本地采集（音频线路输入）进行实时广播；</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 支持中心下发报警联动信息、或检测到本地报警输入时，联动输出报警信号、或联动播放指定的音频文件；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5、防水等级：IP65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6、采用嵌入式系统，设备内存不小于64MB，设备存储不小于4GB</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7、设备待机功耗不大于3W</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9</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4口交换机</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提供4个10/100BASE-T端口。</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网线</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超六类屏蔽网线</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11</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视频工作站</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CPU型号1颗*英特尔</w:t>
            </w:r>
            <w:r>
              <w:rPr>
                <w:rFonts w:eastAsia="仿宋" w:cs="Calibri"/>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酷睿</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i7-11700 (8 核, 16MB 缓存, 基本频率 2.5GHz, 最高睿频 4.9GHz)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内存容量32GB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硬盘容量1块*M.2 512GB PCIe NVMe固态盘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显卡芯片AMD Radeon</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Pro W5500，8 GB，GDDR6 </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w:t>
            </w:r>
          </w:p>
        </w:tc>
        <w:tc>
          <w:tcPr>
            <w:tcW w:w="226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A</w:t>
            </w:r>
            <w:r>
              <w:rPr>
                <w:rFonts w:ascii="仿宋" w:hAnsi="仿宋" w:eastAsia="仿宋"/>
                <w:color w:val="000000" w:themeColor="text1"/>
                <w:sz w:val="22"/>
                <w:szCs w:val="22"/>
                <w14:textFill>
                  <w14:solidFill>
                    <w14:schemeClr w14:val="tx1"/>
                  </w14:solidFill>
                </w14:textFill>
              </w:rPr>
              <w:t>I</w:t>
            </w:r>
            <w:r>
              <w:rPr>
                <w:rFonts w:hint="eastAsia" w:ascii="仿宋" w:hAnsi="仿宋" w:eastAsia="仿宋"/>
                <w:color w:val="000000" w:themeColor="text1"/>
                <w:sz w:val="22"/>
                <w:szCs w:val="22"/>
                <w14:textFill>
                  <w14:solidFill>
                    <w14:schemeClr w14:val="tx1"/>
                  </w14:solidFill>
                </w14:textFill>
              </w:rPr>
              <w:t>开放平台超脑</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、3U标准机架式</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、不低于2个HDMI、1个VGA，HDMI+VGA组内同源</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、支持双4K异源输出</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、16盘位，最高可满配12TB硬盘，支持硬盘热插拔，本次配套4</w:t>
            </w:r>
            <w:r>
              <w:rPr>
                <w:rFonts w:ascii="仿宋" w:hAnsi="仿宋" w:eastAsia="仿宋"/>
                <w:color w:val="000000" w:themeColor="text1"/>
                <w:sz w:val="22"/>
                <w:szCs w:val="22"/>
                <w14:textFill>
                  <w14:solidFill>
                    <w14:schemeClr w14:val="tx1"/>
                  </w14:solidFill>
                </w14:textFill>
              </w:rPr>
              <w:t>0T</w:t>
            </w:r>
            <w:r>
              <w:rPr>
                <w:rFonts w:hint="eastAsia" w:ascii="仿宋" w:hAnsi="仿宋" w:eastAsia="仿宋"/>
                <w:color w:val="000000" w:themeColor="text1"/>
                <w:sz w:val="22"/>
                <w:szCs w:val="22"/>
                <w14:textFill>
                  <w14:solidFill>
                    <w14:schemeClr w14:val="tx1"/>
                  </w14:solidFill>
                </w14:textFill>
              </w:rPr>
              <w:t>以上存储空间，支持RAID0、1、5、6、10，支持全局热备盘</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、输入带宽：不低于400M，不低于64路H.265、H.264混合接入</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★6、支持离线模型和在线模型两种模型导入方式，支持第三方算法插件的导入和管理； （以公安部检测报告为准）</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★7、支持设置机动车、人体、行为分析视频算法混合运行；（以公安部检测报告为准）</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★8、支持将导入的模型与设备引擎绑定并进行配置 （以公安部检测报告为准）</w:t>
            </w:r>
          </w:p>
        </w:tc>
      </w:tr>
      <w:tr>
        <w:tblPrEx>
          <w:tblCellMar>
            <w:top w:w="0" w:type="dxa"/>
            <w:left w:w="108" w:type="dxa"/>
            <w:bottom w:w="0" w:type="dxa"/>
            <w:right w:w="108" w:type="dxa"/>
          </w:tblCellMar>
        </w:tblPrEx>
        <w:trPr>
          <w:trHeight w:val="6249"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13</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视频管理平台</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、2U双路标准机架式服务器</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、CPU：核数≥10核，主频≥2.4GHz</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 xml:space="preserve">、内存：16G*2 DDR4，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、硬盘：2块1.2T 10K 2.5寸 SAS硬盘</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4、阵列卡：SAS_HBA卡, 支持RAID 0/1/10</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、网口：2个千兆电口</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5、电源：标配550W（1+1）高效铂金CRPS冗余电源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7、最大支持用户200000个，最大支持500个用户并发登录请求以及5000个用户同时在线</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14</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广播管理平台</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实现广播系统远程操作、控制，含麦克风及相应配件。</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专线租用费</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20M 视频传输链路</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16</w:t>
            </w:r>
          </w:p>
        </w:tc>
        <w:tc>
          <w:tcPr>
            <w:tcW w:w="226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安装辅材</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17</w:t>
            </w:r>
          </w:p>
        </w:tc>
        <w:tc>
          <w:tcPr>
            <w:tcW w:w="226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电缆及配套设施</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18</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调试及措施费</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二</w:t>
            </w:r>
          </w:p>
        </w:tc>
        <w:tc>
          <w:tcPr>
            <w:tcW w:w="226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智能视频识别算法</w:t>
            </w:r>
          </w:p>
        </w:tc>
        <w:tc>
          <w:tcPr>
            <w:tcW w:w="6648"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19</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智能视频识别</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1、配套垃圾堆检测、钓鱼识别、游泳识别、漂浮物检测等场景智能识别</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三</w:t>
            </w:r>
          </w:p>
        </w:tc>
        <w:tc>
          <w:tcPr>
            <w:tcW w:w="226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流量自动监测</w:t>
            </w:r>
          </w:p>
        </w:tc>
        <w:tc>
          <w:tcPr>
            <w:tcW w:w="6648"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21</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H-ADCP多普勒自动测流仪</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工作频率：500kHz或600kHz</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最大剖面距离：≥80m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剖面层数：≥128</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测速量程：±5m/s（宽带），±15m/s（窄带）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测速准确度：±1%，±5mm/s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测速分辨率：1mm/s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水深传感器：范围0.15～10m，准确度±0.25%，分辨率1mm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温度传感器：范围-4～40℃，准确度±0.5℃，分辨率0.01℃</w:t>
            </w:r>
          </w:p>
          <w:p>
            <w:pPr>
              <w:pStyle w:val="14"/>
              <w:jc w:val="left"/>
              <w:rPr>
                <w:rFonts w:eastAsia="仿宋" w:cs="Calibri"/>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姿态传感器：±30</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，准确度±</w:t>
            </w:r>
            <w:r>
              <w:rPr>
                <w:rFonts w:hint="eastAsia" w:ascii="仿宋" w:hAnsi="仿宋" w:eastAsia="仿宋"/>
                <w:color w:val="000000" w:themeColor="text1"/>
                <w:sz w:val="22"/>
                <w:szCs w:val="22"/>
                <w14:textFill>
                  <w14:solidFill>
                    <w14:schemeClr w14:val="tx1"/>
                  </w14:solidFill>
                </w14:textFill>
              </w:rPr>
              <w:t>0.2</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，分辨率</w:t>
            </w:r>
            <w:r>
              <w:rPr>
                <w:rFonts w:hint="eastAsia" w:ascii="仿宋" w:hAnsi="仿宋" w:eastAsia="仿宋"/>
                <w:color w:val="000000" w:themeColor="text1"/>
                <w:sz w:val="22"/>
                <w:szCs w:val="22"/>
                <w14:textFill>
                  <w14:solidFill>
                    <w14:schemeClr w14:val="tx1"/>
                  </w14:solidFill>
                </w14:textFill>
              </w:rPr>
              <w:t>0.01</w:t>
            </w:r>
            <w:r>
              <w:rPr>
                <w:rFonts w:eastAsia="仿宋" w:cs="Calibri"/>
                <w:color w:val="000000" w:themeColor="text1"/>
                <w:sz w:val="22"/>
                <w:szCs w:val="22"/>
                <w14:textFill>
                  <w14:solidFill>
                    <w14:schemeClr w14:val="tx1"/>
                  </w14:solidFill>
                </w14:textFill>
              </w:rPr>
              <w:t>º</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通讯接口：RS232/RS422/RS485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电源电压：9～18VDC</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22</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23</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H-ADCP专用支架</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24</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25</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26</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27</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28</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29</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31</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32</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流量比测</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四</w:t>
            </w:r>
          </w:p>
        </w:tc>
        <w:tc>
          <w:tcPr>
            <w:tcW w:w="226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水位监测</w:t>
            </w:r>
          </w:p>
        </w:tc>
        <w:tc>
          <w:tcPr>
            <w:tcW w:w="6648"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33</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34</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35</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36</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37</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38</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39</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40</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41</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五</w:t>
            </w:r>
          </w:p>
        </w:tc>
        <w:tc>
          <w:tcPr>
            <w:tcW w:w="226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水质监测</w:t>
            </w:r>
          </w:p>
        </w:tc>
        <w:tc>
          <w:tcPr>
            <w:tcW w:w="6648"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42</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一体化集成户外机柜</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微型化箱式设计，碳钢/不锈钢材质，重量轻、体积小，基础设施需求少；包括采水单元、水样预处理单元、控制及数据采集传输单元，系统配套附件等；市电供电；</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43</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数字式电导率传感器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测量原理：四极式电极法</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量程范围：0~200ms/cm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分辨率：0.01/0.1/1（视量程而定）</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44</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数字式PH/温度传感器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测量原理：玻璃电极法/热敏电阻法</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量程范围：0~14 pH/0-50℃（可调）</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精确度：＜0.1pH/0.2℃</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45</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数字式浊度传感器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测定原理：光散射法</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量程：0～1000NTU，可调</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零点漂移：±3%</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线性误差：±5%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46</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数字式溶解氧传感器</w:t>
            </w:r>
          </w:p>
        </w:tc>
        <w:tc>
          <w:tcPr>
            <w:tcW w:w="664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测定原理：荧光法;</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量程：0～20mg/L，可调;</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响应时间（T90）：≤</w:t>
            </w:r>
            <w:r>
              <w:rPr>
                <w:rFonts w:ascii="仿宋" w:hAnsi="仿宋" w:eastAsia="仿宋"/>
                <w:color w:val="000000" w:themeColor="text1"/>
                <w:sz w:val="22"/>
                <w:szCs w:val="22"/>
                <w14:textFill>
                  <w14:solidFill>
                    <w14:schemeClr w14:val="tx1"/>
                  </w14:solidFill>
                </w14:textFill>
              </w:rPr>
              <w:t>45</w:t>
            </w:r>
            <w:r>
              <w:rPr>
                <w:rFonts w:hint="eastAsia" w:ascii="仿宋" w:hAnsi="仿宋" w:eastAsia="仿宋"/>
                <w:color w:val="000000" w:themeColor="text1"/>
                <w:sz w:val="22"/>
                <w:szCs w:val="22"/>
                <w14:textFill>
                  <w14:solidFill>
                    <w14:schemeClr w14:val="tx1"/>
                  </w14:solidFill>
                </w14:textFill>
              </w:rPr>
              <w:t>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温度补偿精度：±0.3mg/L;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47</w:t>
            </w:r>
          </w:p>
        </w:tc>
        <w:tc>
          <w:tcPr>
            <w:tcW w:w="226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1.显示界面：7" 彩色触摸屏，中文操作界面，易于操作</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2.历史数据：具数据存储、查看、导出功能，可自行设定存储周期</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3.校正功能：具pH、电导率、溶解氧、浊度、温度等传感器校正功能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4.输出功能：RS485 Modbus RTU标准协议（HJ212-2017可选）</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5.密码保护：密码保护校正数据，防止非专业人员误动作。</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6.4G无线传输上送数据，数据传输装置具备对通信链路的自动诊断功能，具备超时补发功能。</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48</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站点基础以及取水管路</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49</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防雷接地系统</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接地电阻小于10欧姆</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50</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51</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辅材配件</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r>
        <w:tblPrEx>
          <w:tblCellMar>
            <w:top w:w="0" w:type="dxa"/>
            <w:left w:w="108" w:type="dxa"/>
            <w:bottom w:w="0" w:type="dxa"/>
            <w:right w:w="108" w:type="dxa"/>
          </w:tblCellMar>
        </w:tblPrEx>
        <w:trPr>
          <w:trHeight w:val="402" w:hRule="atLeast"/>
        </w:trPr>
        <w:tc>
          <w:tcPr>
            <w:tcW w:w="440"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52</w:t>
            </w:r>
          </w:p>
        </w:tc>
        <w:tc>
          <w:tcPr>
            <w:tcW w:w="226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测试调试及相应措施费</w:t>
            </w:r>
          </w:p>
        </w:tc>
        <w:tc>
          <w:tcPr>
            <w:tcW w:w="664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r>
    </w:tbl>
    <w:p>
      <w:pPr>
        <w:pStyle w:val="18"/>
        <w:numPr>
          <w:ilvl w:val="3"/>
          <w:numId w:val="4"/>
        </w:numPr>
        <w:spacing w:before="156" w:after="156"/>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软件需求内容</w:t>
      </w:r>
    </w:p>
    <w:tbl>
      <w:tblPr>
        <w:tblStyle w:val="9"/>
        <w:tblW w:w="9438" w:type="dxa"/>
        <w:tblInd w:w="-5" w:type="dxa"/>
        <w:tblLayout w:type="autofit"/>
        <w:tblCellMar>
          <w:top w:w="0" w:type="dxa"/>
          <w:left w:w="108" w:type="dxa"/>
          <w:bottom w:w="0" w:type="dxa"/>
          <w:right w:w="108" w:type="dxa"/>
        </w:tblCellMar>
      </w:tblPr>
      <w:tblGrid>
        <w:gridCol w:w="980"/>
        <w:gridCol w:w="2743"/>
        <w:gridCol w:w="1954"/>
        <w:gridCol w:w="3761"/>
      </w:tblGrid>
      <w:tr>
        <w:tblPrEx>
          <w:tblCellMar>
            <w:top w:w="0" w:type="dxa"/>
            <w:left w:w="108" w:type="dxa"/>
            <w:bottom w:w="0" w:type="dxa"/>
            <w:right w:w="108" w:type="dxa"/>
          </w:tblCellMar>
        </w:tblPrEx>
        <w:trPr>
          <w:trHeight w:val="710" w:hRule="atLeast"/>
        </w:trPr>
        <w:tc>
          <w:tcPr>
            <w:tcW w:w="372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0" w:type="auto"/>
            <w:tcBorders>
              <w:top w:val="single" w:color="auto" w:sz="4" w:space="0"/>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p>
        </w:tc>
        <w:tc>
          <w:tcPr>
            <w:tcW w:w="3761" w:type="dxa"/>
            <w:tcBorders>
              <w:top w:val="single" w:color="auto" w:sz="4" w:space="0"/>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r>
      <w:tr>
        <w:tblPrEx>
          <w:tblCellMar>
            <w:top w:w="0" w:type="dxa"/>
            <w:left w:w="108" w:type="dxa"/>
            <w:bottom w:w="0" w:type="dxa"/>
            <w:right w:w="108" w:type="dxa"/>
          </w:tblCellMar>
        </w:tblPrEx>
        <w:trPr>
          <w:trHeight w:val="1421"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流域一张图迭代升级</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水域保护基础一张图集成</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水域保护基础一张图图层集成</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集成遂昌县河湖水域保护数字化改革试点项目技术服务中基础一张图水域分布、土地利用、涉水工程、水利工程、行政区划、流域水系、河长分布等图层</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水域保护基础一张图功能集成</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集成遂昌县河湖水域保护数字化改革试点项目技术服务中基础一张图的核心功能，包括信息浏览、一键搜索、底图切换等</w:t>
            </w:r>
          </w:p>
        </w:tc>
      </w:tr>
      <w:tr>
        <w:tblPrEx>
          <w:tblCellMar>
            <w:top w:w="0" w:type="dxa"/>
            <w:left w:w="108" w:type="dxa"/>
            <w:bottom w:w="0" w:type="dxa"/>
            <w:right w:w="108" w:type="dxa"/>
          </w:tblCellMar>
        </w:tblPrEx>
        <w:trPr>
          <w:trHeight w:val="578"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将无人机航拍后的数字正射影像图(DOM)制作成果制作成底图服务</w:t>
            </w:r>
          </w:p>
        </w:tc>
      </w:tr>
      <w:tr>
        <w:tblPrEx>
          <w:tblCellMar>
            <w:top w:w="0" w:type="dxa"/>
            <w:left w:w="108" w:type="dxa"/>
            <w:bottom w:w="0" w:type="dxa"/>
            <w:right w:w="108" w:type="dxa"/>
          </w:tblCellMar>
        </w:tblPrEx>
        <w:trPr>
          <w:trHeight w:val="578"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实时监测图集成开发</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视频监控</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集成本次新建视频监控及流域内已建视频监控数据，在一张图上展示</w:t>
            </w:r>
          </w:p>
        </w:tc>
      </w:tr>
      <w:tr>
        <w:tblPrEx>
          <w:tblCellMar>
            <w:top w:w="0" w:type="dxa"/>
            <w:left w:w="108" w:type="dxa"/>
            <w:bottom w:w="0" w:type="dxa"/>
            <w:right w:w="108" w:type="dxa"/>
          </w:tblCellMar>
        </w:tblPrEx>
        <w:trPr>
          <w:trHeight w:val="856"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流量监测</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集成本次新建生态流量自动监测及流域内已建流量监测数据，在一张图上展示</w:t>
            </w:r>
          </w:p>
        </w:tc>
      </w:tr>
      <w:tr>
        <w:tblPrEx>
          <w:tblCellMar>
            <w:top w:w="0" w:type="dxa"/>
            <w:left w:w="108" w:type="dxa"/>
            <w:bottom w:w="0" w:type="dxa"/>
            <w:right w:w="108" w:type="dxa"/>
          </w:tblCellMar>
        </w:tblPrEx>
        <w:trPr>
          <w:trHeight w:val="578"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水质监测</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集成本次新建水质监测及流域内已建水质监测数据，在一张图上展示</w:t>
            </w:r>
          </w:p>
        </w:tc>
      </w:tr>
      <w:tr>
        <w:tblPrEx>
          <w:tblCellMar>
            <w:top w:w="0" w:type="dxa"/>
            <w:left w:w="108" w:type="dxa"/>
            <w:bottom w:w="0" w:type="dxa"/>
            <w:right w:w="108" w:type="dxa"/>
          </w:tblCellMar>
        </w:tblPrEx>
        <w:trPr>
          <w:trHeight w:val="856"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水位监测</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集成本次新建自动水尺监测水位及流域内已建水位监测数据，在一张图上展示</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水域监管业务图</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汇集水域监管应用产生的水域问题点位及详情、视频巡查路径及详情、上下游协同事件点位及详情，在一张图上展示</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岸线管控业务图</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汇集岸线管控应用产生的岸线分区分类、岸线利用行为、耕地利用行为、涉河项目的相关空间数据及属性数据，在一张图上展示</w:t>
            </w:r>
          </w:p>
        </w:tc>
      </w:tr>
      <w:tr>
        <w:tblPrEx>
          <w:tblCellMar>
            <w:top w:w="0" w:type="dxa"/>
            <w:left w:w="108" w:type="dxa"/>
            <w:bottom w:w="0" w:type="dxa"/>
            <w:right w:w="108" w:type="dxa"/>
          </w:tblCellMar>
        </w:tblPrEx>
        <w:trPr>
          <w:trHeight w:val="856" w:hRule="atLeast"/>
        </w:trPr>
        <w:tc>
          <w:tcPr>
            <w:tcW w:w="980"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公众服务图</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汇集公众服务模块运动风景线、流域水文化、流域慢直播的空间信息和属性信息，在一张图上展示</w:t>
            </w:r>
          </w:p>
        </w:tc>
      </w:tr>
      <w:tr>
        <w:tblPrEx>
          <w:tblCellMar>
            <w:top w:w="0" w:type="dxa"/>
            <w:left w:w="108" w:type="dxa"/>
            <w:bottom w:w="0" w:type="dxa"/>
            <w:right w:w="108" w:type="dxa"/>
          </w:tblCellMar>
        </w:tblPrEx>
        <w:trPr>
          <w:trHeight w:val="1421" w:hRule="atLeast"/>
        </w:trPr>
        <w:tc>
          <w:tcPr>
            <w:tcW w:w="980" w:type="dxa"/>
            <w:vMerge w:val="restart"/>
            <w:tcBorders>
              <w:top w:val="nil"/>
              <w:left w:val="single" w:color="auto" w:sz="4" w:space="0"/>
              <w:bottom w:val="nil"/>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水域监管应用</w:t>
            </w:r>
          </w:p>
        </w:tc>
        <w:tc>
          <w:tcPr>
            <w:tcW w:w="0" w:type="auto"/>
            <w:vMerge w:val="restart"/>
            <w:tcBorders>
              <w:top w:val="single" w:color="auto" w:sz="4" w:space="0"/>
              <w:left w:val="single" w:color="auto" w:sz="4" w:space="0"/>
              <w:bottom w:val="nil"/>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视频智能巡检应用</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视频智能巡检模块</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根据视频智能识别接口，系统提供在线一键巡检和系统定时巡检两种巡检方式，主要是通过调用每个视频点捕捉图像信息进行AI分析，识别违规事件并生成巡检结果详情。</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single" w:color="auto" w:sz="4" w:space="0"/>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智能巡河管理模块</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接入视频智能识别、无人机自助巡检报警信息，开发报警处理、巡检记录、事件推送、巡检路线、告警规则与推送管理等模块。</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single" w:color="auto" w:sz="4" w:space="0"/>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智能巡河统计分析模块</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告警信息统计通过以不同图标展示告警事件统计概览，以多样图表等形式展示实时告警信息统计结果、某时段告警信息统计结果。以图表形式统计分析不同时段内的不同巡河线路点位的违规场景告警总数、告警反馈总数、告警数据占比、告警反馈数占比。</w:t>
            </w:r>
          </w:p>
        </w:tc>
      </w:tr>
      <w:tr>
        <w:tblPrEx>
          <w:tblCellMar>
            <w:top w:w="0" w:type="dxa"/>
            <w:left w:w="108" w:type="dxa"/>
            <w:bottom w:w="0" w:type="dxa"/>
            <w:right w:w="108" w:type="dxa"/>
          </w:tblCellMar>
        </w:tblPrEx>
        <w:trPr>
          <w:trHeight w:val="1703"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通过标准接口，接受灵山港流域下游龙游县要求协同处置经上级（省河湖库保护数字化应用）确认的水域问题，反馈协同处置结果；可向上级（省河湖库保护数字化应用）申请龙游县协同处置问题。</w:t>
            </w:r>
          </w:p>
        </w:tc>
      </w:tr>
      <w:tr>
        <w:tblPrEx>
          <w:tblCellMar>
            <w:top w:w="0" w:type="dxa"/>
            <w:left w:w="108" w:type="dxa"/>
            <w:bottom w:w="0" w:type="dxa"/>
            <w:right w:w="108" w:type="dxa"/>
          </w:tblCellMar>
        </w:tblPrEx>
        <w:trPr>
          <w:trHeight w:val="2268"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问题全量归集</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省河湖库保护数字化应用建设基础上，汇集水利部、省水利厅、丽水市水利局、遂昌县水利局发现的水域问题；智慧巡检系统、河湖长APP、智慧环保系统、美丽河湖智慧管护、渔业执法监管系统、丽水市智慧水电监管平台、基层治理四平台等平台发现的水域问题。</w:t>
            </w:r>
          </w:p>
        </w:tc>
      </w:tr>
      <w:tr>
        <w:tblPrEx>
          <w:tblCellMar>
            <w:top w:w="0" w:type="dxa"/>
            <w:left w:w="108" w:type="dxa"/>
            <w:bottom w:w="0" w:type="dxa"/>
            <w:right w:w="108" w:type="dxa"/>
          </w:tblCellMar>
        </w:tblPrEx>
        <w:trPr>
          <w:trHeight w:val="508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问题四定派发</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根据水域保护基础一张图、事项严重程度评判标准、基层治理一件事一本账，开发水域问题四定模型，自动定位、定性、定责、定人；</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定位：根据问题所在位置，基于水域保护基础一张图，自动分析研判问题关联水域和涉及乡镇；</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定性：定量为主、定性为辅，细化水域问题一件事18项事项严重程度评判标准，判定问题类型、问题严重程度；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定责：根据问题定性及“遂昌水域问题责任体系”梳理成果，自动判定问题责任单位，根据问题定位判定责任乡镇；</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定人：根据问题定位、关联河段及河长树资料，自动判定问题关联的各级河湖长。</w:t>
            </w:r>
          </w:p>
        </w:tc>
      </w:tr>
      <w:tr>
        <w:tblPrEx>
          <w:tblCellMar>
            <w:top w:w="0" w:type="dxa"/>
            <w:left w:w="108" w:type="dxa"/>
            <w:bottom w:w="0" w:type="dxa"/>
            <w:right w:w="108" w:type="dxa"/>
          </w:tblCellMar>
        </w:tblPrEx>
        <w:trPr>
          <w:trHeight w:val="254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问题协同处置</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开发水域监管一件事统一网关，与基层治理四平台对接，由乡镇（街道）统一处置水域问题；与丽水市河长制平台打通，由各级河长推进水域问题处置；根据“遂昌县水域问题责任体系”，为资规、环保、住建、交通、农业农村、执法等相关部门开通水域监管一件事访问入口，由责任单位协同问题处置。</w:t>
            </w:r>
          </w:p>
        </w:tc>
      </w:tr>
      <w:tr>
        <w:tblPrEx>
          <w:tblCellMar>
            <w:top w:w="0" w:type="dxa"/>
            <w:left w:w="108" w:type="dxa"/>
            <w:bottom w:w="0" w:type="dxa"/>
            <w:right w:w="108" w:type="dxa"/>
          </w:tblCellMar>
        </w:tblPrEx>
        <w:trPr>
          <w:trHeight w:val="856"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问题考核复核</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根据问题来源、问题类别“谁负责，谁销号”，最终由遂昌县水利局复核闭环；建立遂昌县水域监管一件事考核评价体系，根据每个流程工作完成情况，系统自动完成各单位、乡镇的线上计分和排名。</w:t>
            </w:r>
          </w:p>
        </w:tc>
      </w:tr>
      <w:tr>
        <w:tblPrEx>
          <w:tblCellMar>
            <w:top w:w="0" w:type="dxa"/>
            <w:left w:w="108" w:type="dxa"/>
            <w:bottom w:w="0" w:type="dxa"/>
            <w:right w:w="108" w:type="dxa"/>
          </w:tblCellMar>
        </w:tblPrEx>
        <w:trPr>
          <w:trHeight w:val="578"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基层治理四平台适配改造</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基层治理四平台适配协同处置改造。</w:t>
            </w:r>
          </w:p>
        </w:tc>
      </w:tr>
      <w:tr>
        <w:tblPrEx>
          <w:tblCellMar>
            <w:top w:w="0" w:type="dxa"/>
            <w:left w:w="108" w:type="dxa"/>
            <w:bottom w:w="0" w:type="dxa"/>
            <w:right w:w="108" w:type="dxa"/>
          </w:tblCellMar>
        </w:tblPrEx>
        <w:trPr>
          <w:trHeight w:val="1139" w:hRule="atLeast"/>
        </w:trPr>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岸线管控应用</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在数字孪生图基础信息图本底上，在线划分或调整岸线保护区、保留区、控制利用区和开发利用区，形成岸线分区。</w:t>
            </w:r>
          </w:p>
        </w:tc>
      </w:tr>
      <w:tr>
        <w:tblPrEx>
          <w:tblCellMar>
            <w:top w:w="0" w:type="dxa"/>
            <w:left w:w="108" w:type="dxa"/>
            <w:bottom w:w="0" w:type="dxa"/>
            <w:right w:w="108" w:type="dxa"/>
          </w:tblCellMar>
        </w:tblPrEx>
        <w:trPr>
          <w:trHeight w:val="2251"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数据汇集、在线标绘两种方式，对河湖管理范围内的岸线整治修复、生态廊道建设、滩地生态治理、公共体育设施、渔业养殖设施、航运设施、航道整治工程、造（修、拆）船项目、文体活动等利用行为位置、审批手续、基础信息进行收录。</w:t>
            </w:r>
          </w:p>
        </w:tc>
      </w:tr>
      <w:tr>
        <w:tblPrEx>
          <w:tblCellMar>
            <w:top w:w="0" w:type="dxa"/>
            <w:left w:w="108" w:type="dxa"/>
            <w:bottom w:w="0" w:type="dxa"/>
            <w:right w:w="108" w:type="dxa"/>
          </w:tblCellMar>
        </w:tblPrEx>
        <w:trPr>
          <w:trHeight w:val="1421"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协同自然资源、农业部门，汇集河湖管理范围内的耕地信息，对比主河槽、洪水上滩频繁范围及水库征地线范围，为耕地利用行为管理提供信息支撑。</w:t>
            </w:r>
          </w:p>
        </w:tc>
      </w:tr>
      <w:tr>
        <w:tblPrEx>
          <w:tblCellMar>
            <w:top w:w="0" w:type="dxa"/>
            <w:left w:w="108" w:type="dxa"/>
            <w:bottom w:w="0" w:type="dxa"/>
            <w:right w:w="108" w:type="dxa"/>
          </w:tblCellMar>
        </w:tblPrEx>
        <w:trPr>
          <w:trHeight w:val="1139"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在线标绘、录入非法岸线利用点位及基础信息，对接至水域监管一件事进行问题协同处置，数据回流后形成岸线利用管控一张单。</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涉河项目监管</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合规性审查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对项目概况、项目承建单位进行项目问询，并在线填报项目问询单，实现合规性审查的在线审批</w:t>
            </w:r>
          </w:p>
        </w:tc>
      </w:tr>
      <w:tr>
        <w:tblPrEx>
          <w:tblCellMar>
            <w:top w:w="0" w:type="dxa"/>
            <w:left w:w="108" w:type="dxa"/>
            <w:bottom w:w="0" w:type="dxa"/>
            <w:right w:w="108" w:type="dxa"/>
          </w:tblCellMar>
        </w:tblPrEx>
        <w:trPr>
          <w:trHeight w:val="1421"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技术性审查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对占用水域情况、防洪影响、补偿措施等项目建设情况组织专家进行技术性评审，生成专家评审意见和水利部门的意见，总结后在线填报技术性审查的审查结论</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许可意见</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对于审查通过的建设项目方案，在线生成项目批复的许可文件和许可表</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方案变更</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对于变更的建设方案和补偿方案内容，需经过线上合规性审查、技术性审查后，并重新生成许可意见</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临时工程</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对于涉河项目中的临时工程，需要在线填报许可（备案）手续和上传施工方案</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许可方案复核检查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对批后获得许可的建设方案进行补偿措施和建设内容的符合检查，检查后的意见可在线填报</w:t>
            </w:r>
          </w:p>
        </w:tc>
      </w:tr>
      <w:tr>
        <w:tblPrEx>
          <w:tblCellMar>
            <w:top w:w="0" w:type="dxa"/>
            <w:left w:w="108" w:type="dxa"/>
            <w:bottom w:w="0" w:type="dxa"/>
            <w:right w:w="108" w:type="dxa"/>
          </w:tblCellMar>
        </w:tblPrEx>
        <w:trPr>
          <w:trHeight w:val="578"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行政检查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对批后的建设工程进行相关政策和制度的检查，检查后的意见可在线填报</w:t>
            </w:r>
          </w:p>
        </w:tc>
      </w:tr>
      <w:tr>
        <w:tblPrEx>
          <w:tblCellMar>
            <w:top w:w="0" w:type="dxa"/>
            <w:left w:w="108" w:type="dxa"/>
            <w:bottom w:w="0" w:type="dxa"/>
            <w:right w:w="108" w:type="dxa"/>
          </w:tblCellMar>
        </w:tblPrEx>
        <w:trPr>
          <w:trHeight w:val="1139"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问题处置</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对于在项目建设的过程中遇到的问题，可以进行在线的问题上报、审核、流转、派发、整改、销号等完整的处置</w:t>
            </w:r>
          </w:p>
        </w:tc>
      </w:tr>
      <w:tr>
        <w:tblPrEx>
          <w:tblCellMar>
            <w:top w:w="0" w:type="dxa"/>
            <w:left w:w="108" w:type="dxa"/>
            <w:bottom w:w="0" w:type="dxa"/>
            <w:right w:w="108" w:type="dxa"/>
          </w:tblCellMar>
        </w:tblPrEx>
        <w:trPr>
          <w:trHeight w:val="113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补偿工程专项验收</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对于涉河项目中的水域补偿工程，建设完成后同样需要进行线上的专项验收，需要上传验收意见和验收资料</w:t>
            </w:r>
          </w:p>
        </w:tc>
      </w:tr>
      <w:tr>
        <w:tblPrEx>
          <w:tblCellMar>
            <w:top w:w="0" w:type="dxa"/>
            <w:left w:w="108" w:type="dxa"/>
            <w:bottom w:w="0" w:type="dxa"/>
            <w:right w:w="108" w:type="dxa"/>
          </w:tblCellMar>
        </w:tblPrEx>
        <w:trPr>
          <w:trHeight w:val="1703"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空间更新</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涉河项目水域调整申请</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用户可在线录入涉河水域占用、补偿的建设概要信息及相关批复材料，主要包括水域占用、补偿的所属区域（至乡镇级别）、计划开工时间、水域占用/补偿矢量数据、建设方案、政府批复文件等信息</w:t>
            </w:r>
          </w:p>
        </w:tc>
      </w:tr>
      <w:tr>
        <w:tblPrEx>
          <w:tblCellMar>
            <w:top w:w="0" w:type="dxa"/>
            <w:left w:w="108" w:type="dxa"/>
            <w:bottom w:w="0" w:type="dxa"/>
            <w:right w:w="108" w:type="dxa"/>
          </w:tblCellMar>
        </w:tblPrEx>
        <w:trPr>
          <w:trHeight w:val="1703"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其他水域调整申请</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用户可在线录入其他水域占用、补偿的建设概要信息及相关批复材料，主要包括水域占用、补偿的所属区域（至乡镇级别）、计划开工时间、水域占用/补偿矢量数据、建设方案、政府批复文件等信息</w:t>
            </w:r>
          </w:p>
        </w:tc>
      </w:tr>
      <w:tr>
        <w:tblPrEx>
          <w:tblCellMar>
            <w:top w:w="0" w:type="dxa"/>
            <w:left w:w="108" w:type="dxa"/>
            <w:bottom w:w="0" w:type="dxa"/>
            <w:right w:w="108" w:type="dxa"/>
          </w:tblCellMar>
        </w:tblPrEx>
        <w:trPr>
          <w:trHeight w:val="1415"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水域调整在线绘制</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支持用户对水域面在线调整，提供多种土地利用样式，辅助用户对占用水域后的用途进行标绘。支持暂存、预览、提交、撤回、删除等操作</w:t>
            </w:r>
          </w:p>
        </w:tc>
      </w:tr>
      <w:tr>
        <w:tblPrEx>
          <w:tblCellMar>
            <w:top w:w="0" w:type="dxa"/>
            <w:left w:w="108" w:type="dxa"/>
            <w:bottom w:w="0" w:type="dxa"/>
            <w:right w:w="108" w:type="dxa"/>
          </w:tblCellMar>
        </w:tblPrEx>
        <w:trPr>
          <w:trHeight w:val="1703"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水域调整核定</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基于用户在线录入的水域占用、补偿的建设概要信息、相关批复材料及绘制的水域调整信息，审核人员可在线预览、下载建设方案、政府批复文件审查复核水域占用、补偿的相关依据材料，线确认水域调整。</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水域调整一本账</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实现水域调查以来水域调整变更位置、范围、面积、审批手续等信息清单式浏览、一图查询、统计分析。</w:t>
            </w:r>
          </w:p>
        </w:tc>
      </w:tr>
      <w:tr>
        <w:tblPrEx>
          <w:tblCellMar>
            <w:top w:w="0" w:type="dxa"/>
            <w:left w:w="108" w:type="dxa"/>
            <w:bottom w:w="0" w:type="dxa"/>
            <w:right w:w="108" w:type="dxa"/>
          </w:tblCellMar>
        </w:tblPrEx>
        <w:trPr>
          <w:trHeight w:val="2810" w:hRule="atLeast"/>
        </w:trPr>
        <w:tc>
          <w:tcPr>
            <w:tcW w:w="980" w:type="dxa"/>
            <w:vMerge w:val="restart"/>
            <w:tcBorders>
              <w:top w:val="nil"/>
              <w:left w:val="single" w:color="auto" w:sz="4" w:space="0"/>
              <w:bottom w:val="nil"/>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公众服务应用</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运动风景线</w:t>
            </w: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安享钓鱼</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钓鱼协会、水利、文广旅体、农业农村、市场监管、生态环境、气象，打造“安全、鱼丰、经济、景美、舒适”的安享钓鱼信息服务。为社会公众提供钓鱼点位分布、禁渔期提示、钓鱼技巧、安全提示、鱼群类型、停车场位置、钓鱼价格、周边美景、天气信息、公众评价等信息。收集公众打卡、评价等信息并公布。</w:t>
            </w:r>
          </w:p>
        </w:tc>
      </w:tr>
      <w:tr>
        <w:tblPrEx>
          <w:tblCellMar>
            <w:top w:w="0" w:type="dxa"/>
            <w:left w:w="108" w:type="dxa"/>
            <w:bottom w:w="0" w:type="dxa"/>
            <w:right w:w="108" w:type="dxa"/>
          </w:tblCellMar>
        </w:tblPrEx>
        <w:trPr>
          <w:trHeight w:val="2268"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亲水露营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农业农村局、市场监管、生态环境、气象，打造“安全、景美、经济、有序”的亲水露营信息服务。为社会公众提供露营点位分布、安全提示、露营技巧、天气信息、周边美景、露营服务、公众评价等信息。收集公众打卡、评价等信息并公布。</w:t>
            </w:r>
          </w:p>
        </w:tc>
      </w:tr>
      <w:tr>
        <w:tblPrEx>
          <w:tblCellMar>
            <w:top w:w="0" w:type="dxa"/>
            <w:left w:w="108" w:type="dxa"/>
            <w:bottom w:w="0" w:type="dxa"/>
            <w:right w:w="108" w:type="dxa"/>
          </w:tblCellMar>
        </w:tblPrEx>
        <w:trPr>
          <w:trHeight w:val="254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tcBorders>
              <w:top w:val="nil"/>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亲水绿道</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市场监管、生态环境、气象，打造“安全、健康、景美”的亲水绿道信息服务。为社会公众提供亲水绿道分布、安全提示、休憩点、驿站、自行车租赁点、公共厕所、配套设施、锻炼建议、天气信息、周边美景、周边商户、公众评价等信息。收集公众打卡、评价等信息并公布。</w:t>
            </w:r>
          </w:p>
        </w:tc>
      </w:tr>
      <w:tr>
        <w:tblPrEx>
          <w:tblCellMar>
            <w:top w:w="0" w:type="dxa"/>
            <w:left w:w="108" w:type="dxa"/>
            <w:bottom w:w="0" w:type="dxa"/>
            <w:right w:w="108" w:type="dxa"/>
          </w:tblCellMar>
        </w:tblPrEx>
        <w:trPr>
          <w:trHeight w:val="856"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接入浙江水文化遗产系统中灵山港流域的水文化信息，同时增加展示治理端补充的水文化信息。</w:t>
            </w:r>
          </w:p>
        </w:tc>
      </w:tr>
      <w:tr>
        <w:tblPrEx>
          <w:tblCellMar>
            <w:top w:w="0" w:type="dxa"/>
            <w:left w:w="108" w:type="dxa"/>
            <w:bottom w:w="0" w:type="dxa"/>
            <w:right w:w="108" w:type="dxa"/>
          </w:tblCellMar>
        </w:tblPrEx>
        <w:trPr>
          <w:trHeight w:val="1703"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基于已建视频监控基础和本次补充建设视频监控（见监测体系部分），为提升公众参与感、获得感、幸福感：为公众提供安享钓鱼、亲水露营、亲水绿道、灵山港流域水文化等慢直播。</w:t>
            </w:r>
          </w:p>
        </w:tc>
      </w:tr>
      <w:tr>
        <w:tblPrEx>
          <w:tblCellMar>
            <w:top w:w="0" w:type="dxa"/>
            <w:left w:w="108" w:type="dxa"/>
            <w:bottom w:w="0" w:type="dxa"/>
            <w:right w:w="108" w:type="dxa"/>
          </w:tblCellMar>
        </w:tblPrEx>
        <w:trPr>
          <w:trHeight w:val="1139"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为支撑运动风景线、水文化遗产服务的数据汇聚更新、信息更新等需求，开发治理端，为各部门、乡镇提供治理入口。</w:t>
            </w:r>
          </w:p>
        </w:tc>
      </w:tr>
      <w:tr>
        <w:tblPrEx>
          <w:tblCellMar>
            <w:top w:w="0" w:type="dxa"/>
            <w:left w:w="108" w:type="dxa"/>
            <w:bottom w:w="0" w:type="dxa"/>
            <w:right w:w="108" w:type="dxa"/>
          </w:tblCellMar>
        </w:tblPrEx>
        <w:trPr>
          <w:trHeight w:val="1421" w:hRule="atLeast"/>
        </w:trPr>
        <w:tc>
          <w:tcPr>
            <w:tcW w:w="980" w:type="dxa"/>
            <w:vMerge w:val="continue"/>
            <w:tcBorders>
              <w:top w:val="nil"/>
              <w:left w:val="single" w:color="auto" w:sz="4" w:space="0"/>
              <w:bottom w:val="nil"/>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0" w:type="auto"/>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流域共富模块的“亲水休闲运动服务、水文化遗产服务、共富产业服务、流域共富慢直播”是面向公众的信息服务，本次设计按相关标准适配后接入i遂昌</w:t>
            </w:r>
          </w:p>
        </w:tc>
      </w:tr>
      <w:tr>
        <w:tblPrEx>
          <w:tblCellMar>
            <w:top w:w="0" w:type="dxa"/>
            <w:left w:w="108" w:type="dxa"/>
            <w:bottom w:w="0" w:type="dxa"/>
            <w:right w:w="108" w:type="dxa"/>
          </w:tblCellMar>
        </w:tblPrEx>
        <w:trPr>
          <w:trHeight w:val="1139" w:hRule="atLeast"/>
        </w:trPr>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场景驾驶舱</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结合正射影像成果，以驾驶舱形式综合展示灵山港流域遂昌段的水域监管、岸线管控、公众服务、河长在线信息</w:t>
            </w:r>
          </w:p>
        </w:tc>
      </w:tr>
      <w:tr>
        <w:tblPrEx>
          <w:tblCellMar>
            <w:top w:w="0" w:type="dxa"/>
            <w:left w:w="108" w:type="dxa"/>
            <w:bottom w:w="0" w:type="dxa"/>
            <w:right w:w="108" w:type="dxa"/>
          </w:tblCellMar>
        </w:tblPrEx>
        <w:trPr>
          <w:trHeight w:val="85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结合正射影像成果，以驾驶舱形式综合展示水域监管一件事、视频智能巡检、上下游协同等信息</w:t>
            </w:r>
          </w:p>
        </w:tc>
      </w:tr>
      <w:tr>
        <w:tblPrEx>
          <w:tblCellMar>
            <w:top w:w="0" w:type="dxa"/>
            <w:left w:w="108" w:type="dxa"/>
            <w:bottom w:w="0" w:type="dxa"/>
            <w:right w:w="108" w:type="dxa"/>
          </w:tblCellMar>
        </w:tblPrEx>
        <w:trPr>
          <w:trHeight w:val="113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结合正射影像成果，以驾驶舱形式综合展示岸线分区分类、岸线利用行为、耕地利用行为、涉河项目等信息</w:t>
            </w:r>
          </w:p>
        </w:tc>
      </w:tr>
      <w:tr>
        <w:tblPrEx>
          <w:tblCellMar>
            <w:top w:w="0" w:type="dxa"/>
            <w:left w:w="108" w:type="dxa"/>
            <w:bottom w:w="0" w:type="dxa"/>
            <w:right w:w="108" w:type="dxa"/>
          </w:tblCellMar>
        </w:tblPrEx>
        <w:trPr>
          <w:trHeight w:val="578"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结合正射影像成果，以驾驶舱形式综合展示展示运动风景线、流域水文化、流域慢直播等数据信息</w:t>
            </w:r>
          </w:p>
        </w:tc>
      </w:tr>
      <w:tr>
        <w:tblPrEx>
          <w:tblCellMar>
            <w:top w:w="0" w:type="dxa"/>
            <w:left w:w="108" w:type="dxa"/>
            <w:bottom w:w="0" w:type="dxa"/>
            <w:right w:w="108" w:type="dxa"/>
          </w:tblCellMar>
        </w:tblPrEx>
        <w:trPr>
          <w:trHeight w:val="876" w:hRule="atLeast"/>
        </w:trPr>
        <w:tc>
          <w:tcPr>
            <w:tcW w:w="980" w:type="dxa"/>
            <w:vMerge w:val="continue"/>
            <w:tcBorders>
              <w:top w:val="single" w:color="auto" w:sz="4" w:space="0"/>
              <w:left w:val="single" w:color="auto" w:sz="4" w:space="0"/>
              <w:bottom w:val="single" w:color="000000"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3761"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接入丽水市河长制系统数据，展示河长在线履职、部门协同治理、工作绩效考核等数据信息</w:t>
            </w:r>
          </w:p>
        </w:tc>
      </w:tr>
    </w:tbl>
    <w:p>
      <w:pPr>
        <w:pStyle w:val="18"/>
        <w:numPr>
          <w:ilvl w:val="3"/>
          <w:numId w:val="4"/>
        </w:numPr>
        <w:spacing w:before="156" w:after="156"/>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无人机航拍需求内容</w:t>
      </w:r>
    </w:p>
    <w:tbl>
      <w:tblPr>
        <w:tblStyle w:val="9"/>
        <w:tblW w:w="9516" w:type="dxa"/>
        <w:tblInd w:w="-5" w:type="dxa"/>
        <w:tblLayout w:type="fixed"/>
        <w:tblCellMar>
          <w:top w:w="0" w:type="dxa"/>
          <w:left w:w="108" w:type="dxa"/>
          <w:bottom w:w="0" w:type="dxa"/>
          <w:right w:w="108" w:type="dxa"/>
        </w:tblCellMar>
      </w:tblPr>
      <w:tblGrid>
        <w:gridCol w:w="723"/>
        <w:gridCol w:w="2008"/>
        <w:gridCol w:w="6785"/>
      </w:tblGrid>
      <w:tr>
        <w:tblPrEx>
          <w:tblCellMar>
            <w:top w:w="0" w:type="dxa"/>
            <w:left w:w="108" w:type="dxa"/>
            <w:bottom w:w="0" w:type="dxa"/>
            <w:right w:w="108" w:type="dxa"/>
          </w:tblCellMar>
        </w:tblPrEx>
        <w:trPr>
          <w:trHeight w:val="724" w:hRule="atLeast"/>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板块</w:t>
            </w:r>
          </w:p>
        </w:tc>
        <w:tc>
          <w:tcPr>
            <w:tcW w:w="2008" w:type="dxa"/>
            <w:tcBorders>
              <w:top w:val="single" w:color="auto" w:sz="4" w:space="0"/>
              <w:left w:val="nil"/>
              <w:bottom w:val="single" w:color="auto" w:sz="4" w:space="0"/>
              <w:right w:val="single" w:color="000000"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6785" w:type="dxa"/>
            <w:tcBorders>
              <w:top w:val="single" w:color="auto" w:sz="4" w:space="0"/>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r>
      <w:tr>
        <w:tblPrEx>
          <w:tblCellMar>
            <w:top w:w="0" w:type="dxa"/>
            <w:left w:w="108" w:type="dxa"/>
            <w:bottom w:w="0" w:type="dxa"/>
            <w:right w:w="108" w:type="dxa"/>
          </w:tblCellMar>
        </w:tblPrEx>
        <w:trPr>
          <w:trHeight w:val="785" w:hRule="atLeast"/>
        </w:trPr>
        <w:tc>
          <w:tcPr>
            <w:tcW w:w="723" w:type="dxa"/>
            <w:vMerge w:val="restart"/>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无人机航拍服务及内业处理</w:t>
            </w:r>
          </w:p>
        </w:tc>
        <w:tc>
          <w:tcPr>
            <w:tcW w:w="200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无人机外业航摄</w:t>
            </w:r>
          </w:p>
        </w:tc>
        <w:tc>
          <w:tcPr>
            <w:tcW w:w="6785"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山区高差&gt;300m,正射，地面分辨率5cm，数量7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km</w:t>
            </w:r>
            <w:r>
              <w:rPr>
                <w:rFonts w:ascii="仿宋" w:hAnsi="仿宋" w:eastAsia="仿宋"/>
                <w:color w:val="000000" w:themeColor="text1"/>
                <w:sz w:val="22"/>
                <w:szCs w:val="22"/>
                <w:vertAlign w:val="superscript"/>
                <w14:textFill>
                  <w14:solidFill>
                    <w14:schemeClr w14:val="tx1"/>
                  </w14:solidFill>
                </w14:textFill>
              </w:rPr>
              <w:t>2</w:t>
            </w:r>
          </w:p>
        </w:tc>
      </w:tr>
      <w:tr>
        <w:tblPrEx>
          <w:tblCellMar>
            <w:top w:w="0" w:type="dxa"/>
            <w:left w:w="108" w:type="dxa"/>
            <w:bottom w:w="0" w:type="dxa"/>
            <w:right w:w="108" w:type="dxa"/>
          </w:tblCellMar>
        </w:tblPrEx>
        <w:trPr>
          <w:trHeight w:val="785" w:hRule="atLeast"/>
        </w:trPr>
        <w:tc>
          <w:tcPr>
            <w:tcW w:w="723"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200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航摄像片控制点连测</w:t>
            </w:r>
          </w:p>
        </w:tc>
        <w:tc>
          <w:tcPr>
            <w:tcW w:w="6785"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1:2000复杂航摄像片控制点连测7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幅（1:2000正方形分幅，1个图幅等于1km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r>
      <w:tr>
        <w:tblPrEx>
          <w:tblCellMar>
            <w:top w:w="0" w:type="dxa"/>
            <w:left w:w="108" w:type="dxa"/>
            <w:bottom w:w="0" w:type="dxa"/>
            <w:right w:w="108" w:type="dxa"/>
          </w:tblCellMar>
        </w:tblPrEx>
        <w:trPr>
          <w:trHeight w:val="795" w:hRule="atLeast"/>
        </w:trPr>
        <w:tc>
          <w:tcPr>
            <w:tcW w:w="723"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200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数字正射影像图(DOM)制作</w:t>
            </w:r>
          </w:p>
        </w:tc>
        <w:tc>
          <w:tcPr>
            <w:tcW w:w="6785"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1:500复杂数字正射影像图(DOM)制作1</w:t>
            </w:r>
            <w:r>
              <w:rPr>
                <w:rFonts w:ascii="仿宋" w:hAnsi="仿宋" w:eastAsia="仿宋"/>
                <w:color w:val="000000" w:themeColor="text1"/>
                <w:sz w:val="22"/>
                <w:szCs w:val="22"/>
                <w14:textFill>
                  <w14:solidFill>
                    <w14:schemeClr w14:val="tx1"/>
                  </w14:solidFill>
                </w14:textFill>
              </w:rPr>
              <w:t>15.2</w:t>
            </w:r>
            <w:r>
              <w:rPr>
                <w:rFonts w:hint="eastAsia" w:ascii="仿宋" w:hAnsi="仿宋" w:eastAsia="仿宋"/>
                <w:color w:val="000000" w:themeColor="text1"/>
                <w:sz w:val="22"/>
                <w:szCs w:val="22"/>
                <w14:textFill>
                  <w14:solidFill>
                    <w14:schemeClr w14:val="tx1"/>
                  </w14:solidFill>
                </w14:textFill>
              </w:rPr>
              <w:t>幅（1:500正方形分幅，1个图幅等于0.0625km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r>
    </w:tbl>
    <w:p>
      <w:pPr>
        <w:pStyle w:val="18"/>
        <w:numPr>
          <w:ilvl w:val="3"/>
          <w:numId w:val="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网络安全需求内容</w:t>
      </w:r>
    </w:p>
    <w:tbl>
      <w:tblPr>
        <w:tblStyle w:val="9"/>
        <w:tblW w:w="9493" w:type="dxa"/>
        <w:tblInd w:w="0" w:type="dxa"/>
        <w:tblLayout w:type="autofit"/>
        <w:tblCellMar>
          <w:top w:w="0" w:type="dxa"/>
          <w:left w:w="108" w:type="dxa"/>
          <w:bottom w:w="0" w:type="dxa"/>
          <w:right w:w="108" w:type="dxa"/>
        </w:tblCellMar>
      </w:tblPr>
      <w:tblGrid>
        <w:gridCol w:w="656"/>
        <w:gridCol w:w="1411"/>
        <w:gridCol w:w="7426"/>
      </w:tblGrid>
      <w:tr>
        <w:tblPrEx>
          <w:tblCellMar>
            <w:top w:w="0" w:type="dxa"/>
            <w:left w:w="108" w:type="dxa"/>
            <w:bottom w:w="0" w:type="dxa"/>
            <w:right w:w="108" w:type="dxa"/>
          </w:tblCellMar>
        </w:tblPrEx>
        <w:trPr>
          <w:trHeight w:val="48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编号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项目名称</w:t>
            </w:r>
          </w:p>
        </w:tc>
        <w:tc>
          <w:tcPr>
            <w:tcW w:w="7426" w:type="dxa"/>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r>
      <w:tr>
        <w:tblPrEx>
          <w:tblCellMar>
            <w:top w:w="0" w:type="dxa"/>
            <w:left w:w="108" w:type="dxa"/>
            <w:bottom w:w="0" w:type="dxa"/>
            <w:right w:w="108" w:type="dxa"/>
          </w:tblCellMar>
        </w:tblPrEx>
        <w:trPr>
          <w:trHeight w:val="294" w:hRule="atLeast"/>
        </w:trPr>
        <w:tc>
          <w:tcPr>
            <w:tcW w:w="0" w:type="auto"/>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网络安全</w:t>
            </w:r>
          </w:p>
        </w:tc>
        <w:tc>
          <w:tcPr>
            <w:tcW w:w="7426"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5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4"/>
              <w:jc w:val="both"/>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防火墙</w:t>
            </w:r>
          </w:p>
        </w:tc>
        <w:tc>
          <w:tcPr>
            <w:tcW w:w="7426"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▲1、网络层吞吐量≥8G，网络处理能力8Gbps，并发连接≥200万，每秒新建连接10万/秒，2U机架式设备，冗余电源，标准配置板载≥</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个10/100/1000M自适应电口、≥2个SFP光接口、≥2个SFP+光接口，配置≥16个SSLVPN 并发用户数、≥16个IPsecVPN 并发隧道数。</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★2、系统要求为下一代防火墙产品，杜绝UTM产品，原厂商要求参与第二代防火墙标准GA/T1177-2014《信息安全技术 第二代防火墙安全技术要求》标准编制，要求提供相关证明复印件。</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★3、要求支持基于源目的IP地址、源目的安全域、VLAN ID、MAC地址、时间、用户、地理区域、服务协议及应用等多种方式进行访问控制，要求系统具备自主研发的基于用户的安全访问控制技术，投标时必须提供自主知识产权证明复印件并加盖原厂公章。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支持双机热备和双机负载均衡功能，防火墙做双机热备。支持标准VRRP协议，支持路由、透明模式下“主-备”、“主-主”方式部署，设备支持一种多防火墙的负载均衡方法及装置的技术，必须提供自主知识产权证明复印件并加盖原厂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5、设备要求具备：高性能IPv6防火墙系统计算机软件著作权登记证书，计算机信息系统安全专用产品销售许可证，提供相关证明复印件并加盖公章。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提供3年全功能模块授权及升级服务（含防火墙、应用识别库、URL分类特征库、病毒防护特征库、入侵防御特征库升级服务及威胁情报订阅服务）；提供国测信息安全服务资质（云计算安全类）、ITSS云计算服务能力（SaaS服务）标准符合性证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7、提供三年硬件维保及规则库升级服务，签订合同前提供设备制造厂商针对此项目的三年质保函；</w:t>
            </w:r>
          </w:p>
        </w:tc>
      </w:tr>
      <w:tr>
        <w:tblPrEx>
          <w:tblCellMar>
            <w:top w:w="0" w:type="dxa"/>
            <w:left w:w="108" w:type="dxa"/>
            <w:bottom w:w="0" w:type="dxa"/>
            <w:right w:w="108" w:type="dxa"/>
          </w:tblCellMar>
        </w:tblPrEx>
        <w:trPr>
          <w:trHeight w:val="2569"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0" w:type="auto"/>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网络机柜</w:t>
            </w:r>
          </w:p>
        </w:tc>
        <w:tc>
          <w:tcPr>
            <w:tcW w:w="7426"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▲1、一体化单柜，IP5X，机架空调-3.5kW 直流变频，单相供电，UPS-3kVA,7寸屏，24 位 PDU*1，可视化氛围灯、声光烟感告警；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2、气体消防插框，具备完整的消防探测、控制、触发系统；</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3、电池包-72V/9Ah-机架式安装（2U)；</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★4、机柜式数据中心产品应提供环境干球温度在24℃、30℃、35℃时，权威第三方机构出具的机柜式数据中心产品PUE值测试报告；</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★5、机柜式数据中心应采用全密封系统，确保制冷系统提供的冷量“只冷设备，不冷环境”，需提供权威第三方机构提供的IP防护等级测试报告，防护等级不低于IP5X防尘等级。</w:t>
            </w:r>
          </w:p>
        </w:tc>
      </w:tr>
      <w:tr>
        <w:tblPrEx>
          <w:tblCellMar>
            <w:top w:w="0" w:type="dxa"/>
            <w:left w:w="108" w:type="dxa"/>
            <w:bottom w:w="0" w:type="dxa"/>
            <w:right w:w="108" w:type="dxa"/>
          </w:tblCellMar>
        </w:tblPrEx>
        <w:trPr>
          <w:trHeight w:val="1299"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0" w:type="auto"/>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交换机</w:t>
            </w:r>
          </w:p>
        </w:tc>
        <w:tc>
          <w:tcPr>
            <w:tcW w:w="7426"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三层交换机，不少于24个10/100/1000BASE-T端口，不少于4个1000Base-X SFP端口；交换容量不少于交换容量不少于758Gbps；包转发率不少于372Mbps；</w:t>
            </w:r>
          </w:p>
        </w:tc>
      </w:tr>
      <w:tr>
        <w:tblPrEx>
          <w:tblCellMar>
            <w:top w:w="0" w:type="dxa"/>
            <w:left w:w="108" w:type="dxa"/>
            <w:bottom w:w="0" w:type="dxa"/>
            <w:right w:w="108" w:type="dxa"/>
          </w:tblCellMar>
        </w:tblPrEx>
        <w:trPr>
          <w:trHeight w:val="754"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政务云安全集成</w:t>
            </w:r>
          </w:p>
        </w:tc>
        <w:tc>
          <w:tcPr>
            <w:tcW w:w="7426"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包括运维管理中心、防火墙、日志审计、入侵检测、堡垒机、主机加固、数据库审计等相应云服务的集成。</w:t>
            </w:r>
          </w:p>
        </w:tc>
      </w:tr>
      <w:tr>
        <w:tblPrEx>
          <w:tblCellMar>
            <w:top w:w="0" w:type="dxa"/>
            <w:left w:w="108" w:type="dxa"/>
            <w:bottom w:w="0" w:type="dxa"/>
            <w:right w:w="108" w:type="dxa"/>
          </w:tblCellMar>
        </w:tblPrEx>
        <w:trPr>
          <w:trHeight w:val="68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等保评测</w:t>
            </w:r>
          </w:p>
        </w:tc>
        <w:tc>
          <w:tcPr>
            <w:tcW w:w="7426"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按照评测指南要求开展。</w:t>
            </w:r>
          </w:p>
        </w:tc>
      </w:tr>
    </w:tbl>
    <w:p>
      <w:pPr>
        <w:pStyle w:val="2"/>
        <w:rPr>
          <w:color w:val="000000" w:themeColor="text1"/>
          <w14:textFill>
            <w14:solidFill>
              <w14:schemeClr w14:val="tx1"/>
            </w14:solidFill>
          </w14:textFill>
        </w:rPr>
      </w:pPr>
    </w:p>
    <w:p>
      <w:pPr>
        <w:pStyle w:val="2"/>
        <w:ind w:firstLine="422" w:firstLineChars="200"/>
        <w:rPr>
          <w:color w:val="000000" w:themeColor="text1"/>
          <w14:textFill>
            <w14:solidFill>
              <w14:schemeClr w14:val="tx1"/>
            </w14:solidFill>
          </w14:textFill>
        </w:rPr>
      </w:pPr>
      <w:r>
        <w:rPr>
          <w:rFonts w:hint="eastAsia" w:cs="宋体"/>
          <w:b/>
          <w:bCs/>
          <w:szCs w:val="21"/>
        </w:rPr>
        <w:t>现改为：</w:t>
      </w:r>
    </w:p>
    <w:p>
      <w:pPr>
        <w:pStyle w:val="17"/>
        <w:numPr>
          <w:ilvl w:val="0"/>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.2.2 </w:t>
      </w:r>
      <w:bookmarkStart w:id="4" w:name="_Toc110449752"/>
      <w:r>
        <w:rPr>
          <w:rFonts w:hint="eastAsia"/>
          <w:color w:val="000000" w:themeColor="text1"/>
          <w14:textFill>
            <w14:solidFill>
              <w14:schemeClr w14:val="tx1"/>
            </w14:solidFill>
          </w14:textFill>
        </w:rPr>
        <w:t>详细需求内容</w:t>
      </w:r>
      <w:bookmarkEnd w:id="4"/>
    </w:p>
    <w:p>
      <w:pPr>
        <w:pStyle w:val="18"/>
        <w:numPr>
          <w:ilvl w:val="3"/>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硬件需求内容</w:t>
      </w:r>
    </w:p>
    <w:tbl>
      <w:tblPr>
        <w:tblStyle w:val="9"/>
        <w:tblW w:w="8926" w:type="dxa"/>
        <w:tblInd w:w="0" w:type="dxa"/>
        <w:tblLayout w:type="fixed"/>
        <w:tblCellMar>
          <w:top w:w="0" w:type="dxa"/>
          <w:left w:w="108" w:type="dxa"/>
          <w:bottom w:w="0" w:type="dxa"/>
          <w:right w:w="108" w:type="dxa"/>
        </w:tblCellMar>
      </w:tblPr>
      <w:tblGrid>
        <w:gridCol w:w="656"/>
        <w:gridCol w:w="2458"/>
        <w:gridCol w:w="4394"/>
        <w:gridCol w:w="709"/>
        <w:gridCol w:w="709"/>
      </w:tblGrid>
      <w:tr>
        <w:tblPrEx>
          <w:tblCellMar>
            <w:top w:w="0" w:type="dxa"/>
            <w:left w:w="108" w:type="dxa"/>
            <w:bottom w:w="0" w:type="dxa"/>
            <w:right w:w="108" w:type="dxa"/>
          </w:tblCellMar>
        </w:tblPrEx>
        <w:trPr>
          <w:trHeight w:val="588"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编号</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项目名称</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709" w:type="dxa"/>
            <w:tcBorders>
              <w:top w:val="single" w:color="auto" w:sz="4" w:space="0"/>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278" w:hRule="atLeast"/>
        </w:trPr>
        <w:tc>
          <w:tcPr>
            <w:tcW w:w="656" w:type="dxa"/>
            <w:tcBorders>
              <w:top w:val="single" w:color="auto" w:sz="4" w:space="0"/>
              <w:left w:val="single" w:color="auto" w:sz="4" w:space="0"/>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一</w:t>
            </w:r>
          </w:p>
        </w:tc>
        <w:tc>
          <w:tcPr>
            <w:tcW w:w="2458" w:type="dxa"/>
            <w:tcBorders>
              <w:top w:val="single" w:color="auto" w:sz="4" w:space="0"/>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视频监控系统</w:t>
            </w:r>
          </w:p>
        </w:tc>
        <w:tc>
          <w:tcPr>
            <w:tcW w:w="4394" w:type="dxa"/>
            <w:tcBorders>
              <w:top w:val="single" w:color="auto" w:sz="4" w:space="0"/>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高速红外智能球机</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支持深度学习算法，提供精准的人车分类侦测、报警、联动跟踪；支持声光警戒；报警联动白光闪烁报警和声音报警，声音内容可选支持区域入侵侦测、越界侦测、进入区域侦测和离开区域侦等智能侦测并联动跟踪；支持切换为人脸抓拍模式，最大同时抓拍5张人脸</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2、采用高效补光阵列，低功耗，白光补光不低于30 m，红外补光不低于150 m</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3、内置加热玻璃，有效除雾</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、最低照度: 彩色：0.005 Lux @（F1.5，AGC ON），黑白：0.001 Lux @（F1.5， AGC ON）；0 Lux with IR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、宽动态: 120 dB超宽动态</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6、焦距: 5.9~188.8 mm，32倍光学变倍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7、视场角: 60.2~2.3度（广角~望远）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8</w:t>
            </w:r>
            <w:r>
              <w:rPr>
                <w:rFonts w:hint="eastAsia" w:ascii="仿宋" w:hAnsi="仿宋" w:eastAsia="仿宋"/>
                <w:color w:val="000000" w:themeColor="text1"/>
                <w:sz w:val="22"/>
                <w:szCs w:val="22"/>
                <w14:textFill>
                  <w14:solidFill>
                    <w14:schemeClr w14:val="tx1"/>
                  </w14:solidFill>
                </w14:textFill>
              </w:rPr>
              <w:t>、主码流帧率分辨率: 50Hz：25 fps（2560 × 1440）；60Hz：30 fps（2560 × 1440）</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9</w:t>
            </w:r>
            <w:r>
              <w:rPr>
                <w:rFonts w:hint="eastAsia" w:ascii="仿宋" w:hAnsi="仿宋" w:eastAsia="仿宋"/>
                <w:color w:val="000000" w:themeColor="text1"/>
                <w:sz w:val="22"/>
                <w:szCs w:val="22"/>
                <w14:textFill>
                  <w14:solidFill>
                    <w14:schemeClr w14:val="tx1"/>
                  </w14:solidFill>
                </w14:textFill>
              </w:rPr>
              <w:t>、视频压缩标准: H.265，H.264，MJPEG</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防护: IP66</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0</w:t>
            </w:r>
            <w:r>
              <w:rPr>
                <w:rFonts w:hint="eastAsia" w:ascii="仿宋" w:hAnsi="仿宋" w:eastAsia="仿宋"/>
                <w:color w:val="000000" w:themeColor="text1"/>
                <w:sz w:val="22"/>
                <w:szCs w:val="22"/>
                <w14:textFill>
                  <w14:solidFill>
                    <w14:schemeClr w14:val="tx1"/>
                  </w14:solidFill>
                </w14:textFill>
              </w:rPr>
              <w:t>、需具备智能分析抗干扰功能，当篮球、小狗、树叶等非人或车辆目标经过检测区域时，不会触发报警。（公安部检验报告证明）</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、支持快捷配置功能，可在预览画面开启/关闭“快捷配置”页面，对曝光参数、OSD、智能资源分配模式等参数进行配置，并可一键恢复为默认设置。（公安部检验报告证明）</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、支持像素显示功能，可实时显示监控画面上选定区域的水平像素大小和垂直像素大小。（公安部检验报告证明）</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监控安装支架</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电源适配器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防水控制箱</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二合一防雷器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电源部分：额定电压24VAC，最大持续运行电压30VAC，额定工作电流1A；网络部分：额定电压5V，最大持续运行电压6VAC，额定电流200mA</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高空监控租用（三年）</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租用铁塔公司高位监控</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外置音柱</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1、广播采样率：8KHz～48KHz；</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量化位数：16bit</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信噪比：≥90dB；灵敏度：90dB</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频率响应：100Hz-16KHz</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音频压缩标准：/G.711U/G.711A/MP3</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2、一体壁挂式室外防水设计、整合网络音频解码，数字功放及音箱；</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 支持通过远程IP网络（局域网/公网）、本地采集（音频线路输入）进行实时广播；</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 xml:space="preserve">、 支持中心下发报警联动信息、或检测到本地报警输入时，联动输出报警信号、或联动播放指定的音频文件；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5、防水等级：IP65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6、采用嵌入式系统，设备内存不小于64MB，设备存储不小于4GB</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7、设备待机功耗不大于3W</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9</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4口交换机</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提供4个10/100BASE-T端口。</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个</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10</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网线</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超六类屏蔽网线</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200</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米</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11</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视频工作站</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I7-12700/500W电源/32GB(16+16) DDR4 3200/512G固态/RX550X 4G独显/USB键鼠/WIN10 专业版/三年保</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w:t>
            </w:r>
          </w:p>
        </w:tc>
        <w:tc>
          <w:tcPr>
            <w:tcW w:w="2458"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视频存储设备（</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0T内存硬盘）</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、3U标准机架式</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、不低于2个HDMI、1个VGA，HDMI+VGA组内同源</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、支持双4K异源输出</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、16盘位，最高可满配12TB硬盘，支持硬盘热插拔，本次配套4</w:t>
            </w:r>
            <w:r>
              <w:rPr>
                <w:rFonts w:ascii="仿宋" w:hAnsi="仿宋" w:eastAsia="仿宋"/>
                <w:color w:val="000000" w:themeColor="text1"/>
                <w:sz w:val="22"/>
                <w:szCs w:val="22"/>
                <w14:textFill>
                  <w14:solidFill>
                    <w14:schemeClr w14:val="tx1"/>
                  </w14:solidFill>
                </w14:textFill>
              </w:rPr>
              <w:t>0T</w:t>
            </w:r>
            <w:r>
              <w:rPr>
                <w:rFonts w:hint="eastAsia" w:ascii="仿宋" w:hAnsi="仿宋" w:eastAsia="仿宋"/>
                <w:color w:val="000000" w:themeColor="text1"/>
                <w:sz w:val="22"/>
                <w:szCs w:val="22"/>
                <w14:textFill>
                  <w14:solidFill>
                    <w14:schemeClr w14:val="tx1"/>
                  </w14:solidFill>
                </w14:textFill>
              </w:rPr>
              <w:t>以上存储空间，支持RAID0、1、5、6、10，支持全局热备盘</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、输入带宽：不低于400M，不低于64路H.265、H.264混合接入</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★6、支持离线模型和在线模型两种模型导入方式，支持第三方算法插件的导入和管理； （以公安部检测报告为准）</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★7、支持设置机动车、人体、行为分析视频算法混合运行；（以公安部检测报告为准）</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★8、支持将导入的模型与设备引擎绑定并进行配置 （以公安部检测报告为准）</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13</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视频管理平台</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、2U双路标准机架式服务器</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、CPU：核数≥10核，主频≥2.4GHz</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 xml:space="preserve">、内存：16G*2 DDR4， </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、硬盘：2块1.2T 10K 2.5寸 SAS硬盘</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4、阵列卡：SAS_HBA卡, 支持RAID 0/1/10</w:t>
            </w:r>
          </w:p>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5</w:t>
            </w:r>
            <w:r>
              <w:rPr>
                <w:rFonts w:hint="eastAsia" w:ascii="仿宋" w:hAnsi="仿宋" w:eastAsia="仿宋"/>
                <w:color w:val="000000" w:themeColor="text1"/>
                <w:sz w:val="22"/>
                <w:szCs w:val="22"/>
                <w14:textFill>
                  <w14:solidFill>
                    <w14:schemeClr w14:val="tx1"/>
                  </w14:solidFill>
                </w14:textFill>
              </w:rPr>
              <w:t>、网口：2个千兆电口</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5、电源：标配550W（1+1）高效铂金CRPS冗余电源 </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7、最大支持用户200000个，最大支持500个用户并发登录请求以及5000个用户同时在线</w:t>
            </w:r>
          </w:p>
          <w:p>
            <w:pPr>
              <w:pStyle w:val="14"/>
              <w:jc w:val="left"/>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8、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14</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广播管理平台</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实现广播系统远程操作、控制，含麦克风及相应配件。</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专线租用费</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10</w:t>
            </w:r>
            <w:r>
              <w:rPr>
                <w:rFonts w:hint="eastAsia" w:ascii="仿宋" w:hAnsi="仿宋" w:eastAsia="仿宋"/>
                <w:color w:val="000000" w:themeColor="text1"/>
                <w:sz w:val="22"/>
                <w:szCs w:val="22"/>
                <w14:textFill>
                  <w14:solidFill>
                    <w14:schemeClr w14:val="tx1"/>
                  </w14:solidFill>
                </w14:textFill>
              </w:rPr>
              <w:t>条20M的视频传输链路</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年</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16</w:t>
            </w:r>
          </w:p>
        </w:tc>
        <w:tc>
          <w:tcPr>
            <w:tcW w:w="245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安装辅材</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17</w:t>
            </w:r>
          </w:p>
        </w:tc>
        <w:tc>
          <w:tcPr>
            <w:tcW w:w="2458"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电缆及配套设施</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18</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调试及措施费</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二</w:t>
            </w:r>
          </w:p>
        </w:tc>
        <w:tc>
          <w:tcPr>
            <w:tcW w:w="245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智能视频识别算法</w:t>
            </w:r>
          </w:p>
        </w:tc>
        <w:tc>
          <w:tcPr>
            <w:tcW w:w="4394"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19</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智能视频识别</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1、配套垃圾堆检测、游泳识别、漂浮物检测等场景智能识别</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三</w:t>
            </w:r>
          </w:p>
        </w:tc>
        <w:tc>
          <w:tcPr>
            <w:tcW w:w="245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流量自动监测</w:t>
            </w:r>
          </w:p>
        </w:tc>
        <w:tc>
          <w:tcPr>
            <w:tcW w:w="4394"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21</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H-ADCP多普勒自动测流仪</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工作频率：500kHz或600kHz</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最大剖面距离：≥80m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剖面层数：≥128</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测速量程：±5m/s（宽带），±15m/s（窄带）</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测速准确度：±1%，±5mm/s</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测速分辨率：1mm/s</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水深传感器：范围0.15～10m，准确度±0.25%，分辨率1mm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温度传感器：范围-4～40℃，准确度±0.5℃，分辨率0.01℃</w:t>
            </w:r>
          </w:p>
          <w:p>
            <w:pPr>
              <w:pStyle w:val="14"/>
              <w:jc w:val="left"/>
              <w:rPr>
                <w:rFonts w:hint="eastAsia" w:eastAsia="仿宋" w:cs="Calibri"/>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姿态传感器：±30</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，准确度±</w:t>
            </w:r>
            <w:r>
              <w:rPr>
                <w:rFonts w:hint="eastAsia" w:ascii="仿宋" w:hAnsi="仿宋" w:eastAsia="仿宋"/>
                <w:color w:val="000000" w:themeColor="text1"/>
                <w:sz w:val="22"/>
                <w:szCs w:val="22"/>
                <w14:textFill>
                  <w14:solidFill>
                    <w14:schemeClr w14:val="tx1"/>
                  </w14:solidFill>
                </w14:textFill>
              </w:rPr>
              <w:t>0.2</w:t>
            </w:r>
            <w:r>
              <w:rPr>
                <w:rFonts w:eastAsia="仿宋" w:cs="Calibri"/>
                <w:color w:val="000000" w:themeColor="text1"/>
                <w:sz w:val="22"/>
                <w:szCs w:val="22"/>
                <w14:textFill>
                  <w14:solidFill>
                    <w14:schemeClr w14:val="tx1"/>
                  </w14:solidFill>
                </w14:textFill>
              </w:rPr>
              <w:t>º</w:t>
            </w:r>
            <w:r>
              <w:rPr>
                <w:rFonts w:hint="eastAsia" w:ascii="仿宋" w:hAnsi="仿宋" w:eastAsia="仿宋" w:cs="仿宋"/>
                <w:color w:val="000000" w:themeColor="text1"/>
                <w:sz w:val="22"/>
                <w:szCs w:val="22"/>
                <w14:textFill>
                  <w14:solidFill>
                    <w14:schemeClr w14:val="tx1"/>
                  </w14:solidFill>
                </w14:textFill>
              </w:rPr>
              <w:t>，分辨率</w:t>
            </w:r>
            <w:r>
              <w:rPr>
                <w:rFonts w:hint="eastAsia" w:ascii="仿宋" w:hAnsi="仿宋" w:eastAsia="仿宋"/>
                <w:color w:val="000000" w:themeColor="text1"/>
                <w:sz w:val="22"/>
                <w:szCs w:val="22"/>
                <w14:textFill>
                  <w14:solidFill>
                    <w14:schemeClr w14:val="tx1"/>
                  </w14:solidFill>
                </w14:textFill>
              </w:rPr>
              <w:t>0.01</w:t>
            </w:r>
            <w:r>
              <w:rPr>
                <w:rFonts w:eastAsia="仿宋" w:cs="Calibri"/>
                <w:color w:val="000000" w:themeColor="text1"/>
                <w:sz w:val="22"/>
                <w:szCs w:val="22"/>
                <w14:textFill>
                  <w14:solidFill>
                    <w14:schemeClr w14:val="tx1"/>
                  </w14:solidFill>
                </w14:textFill>
              </w:rPr>
              <w:t>º</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通讯接口：RS232/RS422/RS485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电源电压：9～18VDC</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22</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23</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H-ADCP专用支架</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24</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25</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26</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27</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28</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29</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30</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31</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32</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流量比测</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四</w:t>
            </w:r>
          </w:p>
        </w:tc>
        <w:tc>
          <w:tcPr>
            <w:tcW w:w="245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水位监测</w:t>
            </w:r>
          </w:p>
        </w:tc>
        <w:tc>
          <w:tcPr>
            <w:tcW w:w="4394"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33</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可兼容采集多种工业传感器</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34</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雷达式水位传感器</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量程：30、35、70米；</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工作频率：≥26GHz</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测量精度：±3mm；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分辨率：±1mm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测量时间：20 秒（SDI 12）或30 秒（4-20Ma）；</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天线波束角度（宽波）：≤8°；</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供电范围：6-26V DC；</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通讯接口：4-20mA、RS-485、两线制等；</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存放温度：-40～85℃；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相对湿度：在40℃时湿度为95%；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保护等级：≥IP68；</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自带波动补偿，消除风力及桥梁振动影响；</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外壳:铝或316L不锈钢；天线材质不锈钢。</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太阳能供电系统</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最大功率60W，最大工作电压16V～18V，开路电压20V～23V；</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充电控制器，额定电压：12V，最大负载电流：10A，效率95%-97%，具备市电和蓄电池供电切换功能</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胶体蓄电池要求设计寿命10年以上，采用ABS阻燃材料，质量可靠稳定</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立杆（含基础施工）</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立杆不低于3米，采用镀锌钢管，要求外观制作美观大方，喷漆防腐到位</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设备箱</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不锈钢材质；IP55防护级别，含电源开关、防雷器、断路器等模块。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39</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相关辅材</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0</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设备安装调试</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五</w:t>
            </w:r>
          </w:p>
        </w:tc>
        <w:tc>
          <w:tcPr>
            <w:tcW w:w="245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水质监测</w:t>
            </w:r>
          </w:p>
        </w:tc>
        <w:tc>
          <w:tcPr>
            <w:tcW w:w="4394" w:type="dxa"/>
            <w:tcBorders>
              <w:top w:val="nil"/>
              <w:left w:val="nil"/>
              <w:bottom w:val="single" w:color="auto" w:sz="4" w:space="0"/>
              <w:right w:val="single" w:color="auto" w:sz="4" w:space="0"/>
            </w:tcBorders>
            <w:shd w:val="clear" w:color="000000" w:fill="DDEBF7"/>
            <w:vAlign w:val="center"/>
          </w:tcPr>
          <w:p>
            <w:pPr>
              <w:pStyle w:val="14"/>
              <w:jc w:val="left"/>
              <w:rPr>
                <w:rFonts w:ascii="仿宋" w:hAnsi="仿宋" w:eastAsia="仿宋"/>
                <w:color w:val="000000" w:themeColor="text1"/>
                <w:sz w:val="22"/>
                <w:szCs w:val="22"/>
                <w14:textFill>
                  <w14:solidFill>
                    <w14:schemeClr w14:val="tx1"/>
                  </w14:solidFill>
                </w14:textFill>
              </w:rPr>
            </w:pPr>
          </w:p>
        </w:tc>
        <w:tc>
          <w:tcPr>
            <w:tcW w:w="709" w:type="dxa"/>
            <w:tcBorders>
              <w:top w:val="nil"/>
              <w:left w:val="nil"/>
              <w:bottom w:val="single" w:color="auto" w:sz="4" w:space="0"/>
              <w:right w:val="single" w:color="auto" w:sz="4" w:space="0"/>
            </w:tcBorders>
            <w:shd w:val="clear" w:color="000000" w:fill="DDEBF7"/>
            <w:noWrap/>
            <w:vAlign w:val="center"/>
          </w:tcPr>
          <w:p>
            <w:pPr>
              <w:pStyle w:val="14"/>
              <w:rPr>
                <w:rFonts w:ascii="仿宋" w:hAnsi="仿宋" w:eastAsia="仿宋"/>
                <w:color w:val="000000" w:themeColor="text1"/>
                <w:sz w:val="22"/>
                <w:szCs w:val="22"/>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color w:val="000000" w:themeColor="text1"/>
                <w:sz w:val="22"/>
                <w:szCs w:val="22"/>
                <w14:textFill>
                  <w14:solidFill>
                    <w14:schemeClr w14:val="tx1"/>
                  </w14:solidFill>
                </w14:textFill>
              </w:rPr>
            </w:pPr>
          </w:p>
        </w:tc>
      </w:tr>
      <w:tr>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一体化集成户外机柜</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微型化箱式设计，碳钢/不锈钢材质，重量轻、体积小，基础设施需求少；包括采水单元、水样预处理单元、控制及数据采集传输单元，系统配套附件等；市电供电；</w:t>
            </w:r>
          </w:p>
        </w:tc>
        <w:tc>
          <w:tcPr>
            <w:tcW w:w="709"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台</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2</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数字式电导率传感器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测量原理：四极式电极法</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量程范围：0~200ms/cm</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分辨率：0.01/0.1/1（视量程而定）</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3</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数字式PH/温度传感器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测量原理：玻璃电极法/热敏电阻法</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量程范围：0~14 pH/0-50℃（可调）</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精确度：＜0.1pH/0.2℃</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分辨率：0.01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漂移性：＜0.</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pH/0.1℃</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响应时间：＜15s</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4</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数字式浊度传感器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测定原理：光散射法</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量程：0～1000NTU，可调</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零点漂移：±3%</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量程漂移：±5%</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线性误差：±5%</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5</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数字式溶解氧传感器</w:t>
            </w:r>
          </w:p>
        </w:tc>
        <w:tc>
          <w:tcPr>
            <w:tcW w:w="4394" w:type="dxa"/>
            <w:tcBorders>
              <w:top w:val="nil"/>
              <w:left w:val="nil"/>
              <w:bottom w:val="single" w:color="auto" w:sz="4" w:space="0"/>
              <w:right w:val="single" w:color="auto" w:sz="4" w:space="0"/>
            </w:tcBorders>
            <w:shd w:val="clear" w:color="000000" w:fill="FFFFFF"/>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测定原理：荧光法;</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量程：0～20mg/L，可调;</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精确度：＜0.3mg/L</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零点漂移：±0.3mg/L;</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量程漂移：±0.3mg/L;</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重复性：±0.3mg/L;</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响应时间（T90）：≤</w:t>
            </w:r>
            <w:r>
              <w:rPr>
                <w:rFonts w:ascii="仿宋" w:hAnsi="仿宋" w:eastAsia="仿宋"/>
                <w:color w:val="000000" w:themeColor="text1"/>
                <w:sz w:val="22"/>
                <w:szCs w:val="22"/>
                <w14:textFill>
                  <w14:solidFill>
                    <w14:schemeClr w14:val="tx1"/>
                  </w14:solidFill>
                </w14:textFill>
              </w:rPr>
              <w:t>45</w:t>
            </w:r>
            <w:r>
              <w:rPr>
                <w:rFonts w:hint="eastAsia" w:ascii="仿宋" w:hAnsi="仿宋" w:eastAsia="仿宋"/>
                <w:color w:val="000000" w:themeColor="text1"/>
                <w:sz w:val="22"/>
                <w:szCs w:val="22"/>
                <w14:textFill>
                  <w14:solidFill>
                    <w14:schemeClr w14:val="tx1"/>
                  </w14:solidFill>
                </w14:textFill>
              </w:rPr>
              <w:t>s;</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温度补偿精度：±0.3mg/L;</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MTBF：＞1440h</w:t>
            </w:r>
          </w:p>
        </w:tc>
        <w:tc>
          <w:tcPr>
            <w:tcW w:w="709" w:type="dxa"/>
            <w:tcBorders>
              <w:top w:val="nil"/>
              <w:left w:val="nil"/>
              <w:bottom w:val="single" w:color="auto" w:sz="4" w:space="0"/>
              <w:right w:val="single" w:color="auto" w:sz="4" w:space="0"/>
            </w:tcBorders>
            <w:shd w:val="clear" w:color="000000" w:fill="FFFFFF"/>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6</w:t>
            </w:r>
          </w:p>
        </w:tc>
        <w:tc>
          <w:tcPr>
            <w:tcW w:w="2458"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数据遥测终端</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1.显示界面：7" 彩色触摸屏，中文操作界面，易于操作</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2.历史数据：具数据存储、查看、导出功能，可自行设定存储周期</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3.校正功能：具pH、电导率、溶解氧、浊度、温度等传感器校正功能</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4.输出功能：RS485 Modbus RTU标准协议（HJ212-2017可选）</w:t>
            </w:r>
          </w:p>
          <w:p>
            <w:pPr>
              <w:pStyle w:val="14"/>
              <w:jc w:val="left"/>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5.密码保护：密码保护校正数据，防止非专业人员误动作。</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6.4G无线传输上送数据，数据传输装置具备对通信链路的自动诊断功能，具备超时补发功能。</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7</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站点基础以及取水管路</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r>
              <w:rPr>
                <w:rFonts w:ascii="仿宋" w:hAnsi="仿宋" w:eastAsia="仿宋"/>
                <w:color w:val="000000" w:themeColor="text1"/>
                <w:sz w:val="22"/>
                <w:szCs w:val="22"/>
                <w14:textFill>
                  <w14:solidFill>
                    <w14:schemeClr w14:val="tx1"/>
                  </w14:solidFill>
                </w14:textFill>
              </w:rPr>
              <w:t>8</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防雷接地系统</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接地电阻小于10欧姆</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49</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三年流量</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r>
              <w:rPr>
                <w:rFonts w:ascii="仿宋" w:hAnsi="仿宋" w:eastAsia="仿宋"/>
                <w:color w:val="000000" w:themeColor="text1"/>
                <w:sz w:val="22"/>
                <w:szCs w:val="22"/>
                <w14:textFill>
                  <w14:solidFill>
                    <w14:schemeClr w14:val="tx1"/>
                  </w14:solidFill>
                </w14:textFill>
              </w:rPr>
              <w:t>0</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辅材配件</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套</w:t>
            </w:r>
          </w:p>
        </w:tc>
      </w:tr>
      <w:tr>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r>
              <w:rPr>
                <w:rFonts w:ascii="仿宋" w:hAnsi="仿宋" w:eastAsia="仿宋"/>
                <w:color w:val="000000" w:themeColor="text1"/>
                <w:sz w:val="22"/>
                <w:szCs w:val="22"/>
                <w14:textFill>
                  <w14:solidFill>
                    <w14:schemeClr w14:val="tx1"/>
                  </w14:solidFill>
                </w14:textFill>
              </w:rPr>
              <w:t>1</w:t>
            </w:r>
          </w:p>
        </w:tc>
        <w:tc>
          <w:tcPr>
            <w:tcW w:w="2458"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测试调试及相应措施费</w:t>
            </w:r>
          </w:p>
        </w:tc>
        <w:tc>
          <w:tcPr>
            <w:tcW w:w="4394"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配套</w:t>
            </w:r>
          </w:p>
        </w:tc>
        <w:tc>
          <w:tcPr>
            <w:tcW w:w="709" w:type="dxa"/>
            <w:tcBorders>
              <w:top w:val="nil"/>
              <w:left w:val="nil"/>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等线 Light" w:hAnsi="等线 Light" w:eastAsia="等线 Light"/>
                <w:sz w:val="22"/>
                <w:szCs w:val="22"/>
              </w:rPr>
              <w:t>项</w:t>
            </w:r>
          </w:p>
        </w:tc>
      </w:tr>
    </w:tbl>
    <w:p>
      <w:pPr>
        <w:pStyle w:val="20"/>
        <w:ind w:firstLine="0" w:firstLineChars="0"/>
        <w:rPr>
          <w:rFonts w:hint="eastAsia"/>
        </w:rPr>
      </w:pPr>
    </w:p>
    <w:p>
      <w:pPr>
        <w:pStyle w:val="18"/>
        <w:numPr>
          <w:ilvl w:val="3"/>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软件需求内容</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828"/>
        <w:gridCol w:w="1864"/>
        <w:gridCol w:w="3349"/>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gridSpan w:val="2"/>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0" w:type="auto"/>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c>
          <w:tcPr>
            <w:tcW w:w="0" w:type="auto"/>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0" w:type="auto"/>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流域一张图迭代升级</w:t>
            </w: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水域保护基础一张图集成</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水域保护基础一张图图层集成</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集成遂昌县河湖水域保护数字化改革试点项目技术服务中基础一张图水域分布、土地利用、涉水工程、水利工程、行政区划、流域水系、河长分布等图层</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水域保护基础一张图功能集成</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集成遂昌县河湖水域保护数字化改革试点项目技术服务中基础一张图的核心功能，包括信息浏览、一键搜索、底图切换等</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正射影像底图</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将无人机航拍后的数字正射影像图(DOM)制作成果制作成底图服务</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实时监测图集成开发</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视频监控</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集成本次新建视频监控及流域内已建视频监控数据，在一张图上展示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流量监测</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集成本次新建生态流量自动监测及流域内已建流量监测数据，在一张图上展示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水质监测</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集成本次新建水质监测及流域内已建水质监测数据，在一张图上展示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水位监测</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集成本次新建自动水尺监测水位及流域内已建水位监测数据，在一张图上展示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水域监管业务图</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汇集水域监管应用产生的水域问题点位及详情、视频巡查路径及详情、上下游协同事件点位及详情，在一张图上展示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岸线管控业务图</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汇集岸线管控应用产生的岸线分区分类、岸线利用行为、耕地利用行为、涉河项目的相关空间数据及属性数据，在一张图上展示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公众服务图</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汇集公众服务模块运动风景线、流域水文化、流域慢直播的空间信息和属性信息，在一张图上展示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水域监管应用</w:t>
            </w: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视频智能巡检应用</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视频智能巡检模块</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根据视频智能识别接口，系统提供在线一键巡检和系统定时巡检两种巡检方式，主要是通过调用每个视频点捕捉图像信息进行AI分析，识别违规事件并生成巡检结果详情。</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智能巡河管理模块</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接入视频智能识别、无人机自助巡检报警信息，开发报警处理、巡检记录、事件推送、巡检路线、告警规则与推送管理等模块。</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智能巡河统计分析模块</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告警信息统计通过以不同图标展示告警事件统计概览，以多样图表等形式展示实时告警信息统计结果、某时段告警信息统计结果。以图表形式统计分析不同时段内的不同巡河线路点位的违规场景告警总数、告警反馈总数、告警数据占比、告警反馈数占比。</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上下游协同模块</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通过标准接口，接受灵山港流域下游龙游县要求协同处置经上级（省河湖库保护数字化应用）确认的水域问题，反馈协同处置结果；可向上级（省河湖库保护数字化应用）申请龙游县协同处置问题。</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水域监管一件事</w:t>
            </w:r>
          </w:p>
        </w:tc>
        <w:tc>
          <w:tcPr>
            <w:tcW w:w="0" w:type="auto"/>
            <w:shd w:val="clear" w:color="auto" w:fill="auto"/>
            <w:vAlign w:val="center"/>
          </w:tcPr>
          <w:p>
            <w:pPr>
              <w:pStyle w:val="14"/>
              <w:rPr>
                <w:rFonts w:hint="eastAsia" w:ascii="仿宋" w:hAnsi="仿宋" w:eastAsia="仿宋"/>
                <w:color w:val="000000" w:themeColor="text1"/>
                <w:sz w:val="22"/>
                <w:szCs w:val="22"/>
                <w14:textFill>
                  <w14:solidFill>
                    <w14:schemeClr w14:val="tx1"/>
                  </w14:solidFill>
                </w14:textFill>
              </w:rPr>
            </w:pPr>
          </w:p>
          <w:p>
            <w:pPr>
              <w:pStyle w:val="14"/>
            </w:pPr>
            <w:r>
              <w:rPr>
                <w:rFonts w:hint="eastAsia" w:ascii="仿宋" w:hAnsi="仿宋" w:eastAsia="仿宋"/>
                <w:color w:val="000000" w:themeColor="text1"/>
                <w:sz w:val="22"/>
                <w:szCs w:val="22"/>
                <w14:textFill>
                  <w14:solidFill>
                    <w14:schemeClr w14:val="tx1"/>
                  </w14:solidFill>
                </w14:textFill>
              </w:rPr>
              <w:t>水域监管一件事集成</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集成“美丽河湖面一件事”中水域监管的问题全量归集、问题四定派发、问题协同处置、问题复核考核信息</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水域监管一件事试点服务</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水域监管业务事项责任体系梳理、水域监管流程重塑梳理、水域监管绩效考核体系梳理</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基层治理平台适配改造</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关于水域监管事项适配改造：（1）场景模块功能新增、迭代；（2）新增统计报表功能；（3）新增分权分角色工作台功能；（4）相关数据接口调用对接</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sz w:val="22"/>
                <w:szCs w:val="22"/>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岸线管控应用</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岸线分区分类</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在数字孪生图基础信息图本底上，在线划分或调整岸线保护区、保留区、控制利用区和开发利用区，形成岸线分区。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岸线利用行为管理</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通过数据汇集、在线标绘两种方式，对河湖管理范围内的岸线整治修复、生态廊道建设、滩地生态治理、公共体育设施、渔业养殖设施、航运设施、航道整治工程、造（修、拆）船项目、文体活动等利用行为位置、审批手续、基础信息进行收录。</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耕地利用管理</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协同自然资源、农业部门，汇集河湖管理范围内的耕地信息，对比主河槽、洪水上滩频繁范围及水库征地线范围，为耕地利用行为管理提供信息支撑。</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岸线利用管控一张单</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在线标绘、录入非法岸线利用点位及基础信息，对接至水域监管一件事进行问题协同处置，数据回流后形成岸线利用管控一张单。</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涉河项目监管</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合规性审查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对项目概况、项目承建单位进行项目问询，并在线填报项目问询单，实现合规性审查的在线审批</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技术性审查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对占用水域情况、防洪影响、补偿措施等项目建设情况组织专家进行技术性评审，生成专家评审意见和水利部门的意见，总结后在线填报技术性审查的审查结论</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许可意见</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对于审查通过的建设项目方案，在线生成项目批复的许可文件和许可表</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方案变更</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对于变更的建设方案和补偿方案内容，需经过线上合规性审查、技术性审查后，并重新生成许可意见</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临时工程</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对于涉河项目中的临时工程，需要在线填报许可（备案）手续和上传施工方案</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许可方案复核检查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对批后获得许可的建设方案进行补偿措施和建设内容的符合检查，检查后的意见可在线填报</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行政检查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对批后的建设工程进行相关政策和制度的检查，检查后的意见可在线填报</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问题处置</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对于在项目建设的过程中遇到的问题，可以进行在线的问题上报、审核、流转、派发、整改、销号等完整的处置</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补偿工程专项验收</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对于涉河项目中的水域补偿工程，建设完成后同样需要进行线上的专项验收，需要上传验收意见和验收资料</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空间更新</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涉河项目水域调整申请</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用户可在线录入涉河水域占用、补偿的建设概要信息及相关批复材料，主要包括水域占用、补偿的所属区域（至乡镇级别）、计划开工时间、水域占用/补偿矢量数据、建设方案、政府批复文件等信息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其他水域调整申请</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用户可在线录入其他水域占用、补偿的建设概要信息及相关批复材料，主要包括水域占用、补偿的所属区域（至乡镇级别）、计划开工时间、水域占用/补偿矢量数据、建设方案、政府批复文件等信息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水域调整在线绘制</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支持用户对水域面在线调整，提供多种土地利用样式，辅助用户对占用水域后的用途进行标绘。支持暂存、预览、提交、撤回、删除等操作</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水域调整核定</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基于用户在线录入的水域占用、补偿的建设概要信息、相关批复材料及绘制的水域调整信息，审核人员可在线预览、下载建设方案、政府批复文件审查复核水域占用、补偿的相关依据材料，线确认水域调整。</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水域调整一本账</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实现水域调查以来水域调整变更位置、范围、面积、审批手续等信息清单式浏览、一图查询、统计分析。</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公众服务应用</w:t>
            </w:r>
          </w:p>
        </w:tc>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运动风景线</w:t>
            </w: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安享钓鱼</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钓鱼协会、水利、文广旅体、农业农村、市场监管、生态环境、气象，打造“安全、鱼丰、经济、景美、舒适”的安享钓鱼信息服务。为社会公众提供钓鱼点位分布、禁渔期提示、钓鱼技巧、安全提示、鱼群类型、停车场位置、钓鱼价格、周边美景、天气信息、公众评价等信息。收集公众打卡、评价等信息并公布。</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亲水露营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农业农村局、市场监管、生态环境、气象，打造“安全、景美、经济、有序”的亲水露营信息服务。为社会公众提供露营点位分布、安全提示、露营技巧、天气信息、周边美景、露营服务、公众评价等信息。收集公众打卡、评价等信息并公布。</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亲水绿道</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协同水利、文广旅体、市场监管、生态环境、气象，打造“安全、健康、景美”的亲水绿道信息服务。为社会公众提供亲水绿道分布、安全提示、休憩点、驿站、自行车租赁点、公共厕所、配套设施、锻炼建议、天气信息、周边美景、周边商户、公众评价等信息。收集公众打卡、评价等信息并公布。</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流域水文化</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接入浙江水文化遗产系统中灵山港流域的水文化信息，同时增加展示治理端补充的水文化信息。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流域慢直播</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基于已建视频监控基础和本次补充建设视频监控（见监测体系部分），为提升公众参与感、获得感、幸福感：为公众提供安享钓鱼、亲水露营、亲水绿道、灵山港流域水文化等慢直播。</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公众服务治理端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为支撑运动风景线、水文化遗产服务的数据汇聚更新、信息更新等需求，开发治理端，为各部门、乡镇提供治理入口。</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0" w:type="auto"/>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i遂昌适配接入</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流域共富模块的“亲水休闲运动服务、水文化遗产服务、共富产业服务、流域共富慢直播”是面向公众的信息服务，本次设计按相关标准适配后接入i遂昌</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0" w:type="auto"/>
            <w:vMerge w:val="restart"/>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场景驾驶舱</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数字灵山港综合场景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结合正射影像成果，以驾驶舱形式综合展示灵山港流域遂昌段的水域监管、岸线管控、公众服务、河长在线信息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水域监管场景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结合正射影像成果，以驾驶舱形式综合展示水域监管一件事、视频智能巡检、上下游协同等信息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岸线管控场景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结合正射影像成果，以驾驶舱形式综合展示岸线分区分类、岸线利用行为、耕地利用行为、涉河项目等信息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公众服务场景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结合正射影像成果，以驾驶舱形式综合展示展示运动风景线、流域水文化、流域慢直播等数据信息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vMerge w:val="continue"/>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河长在线场景</w:t>
            </w:r>
          </w:p>
        </w:tc>
        <w:tc>
          <w:tcPr>
            <w:tcW w:w="0" w:type="auto"/>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接入丽水市河长制系统数据，展示河长在线履职、部门协同治理、工作绩效考核等数据信息</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1</w:t>
            </w:r>
          </w:p>
        </w:tc>
        <w:tc>
          <w:tcPr>
            <w:tcW w:w="0" w:type="auto"/>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sz w:val="22"/>
                <w:szCs w:val="22"/>
              </w:rPr>
              <w:t>项</w:t>
            </w:r>
          </w:p>
        </w:tc>
      </w:tr>
    </w:tbl>
    <w:p>
      <w:pPr>
        <w:pStyle w:val="18"/>
        <w:numPr>
          <w:ilvl w:val="3"/>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无人机航拍需求内容</w:t>
      </w:r>
    </w:p>
    <w:tbl>
      <w:tblPr>
        <w:tblStyle w:val="9"/>
        <w:tblW w:w="0" w:type="auto"/>
        <w:jc w:val="center"/>
        <w:tblLayout w:type="autofit"/>
        <w:tblCellMar>
          <w:top w:w="0" w:type="dxa"/>
          <w:left w:w="108" w:type="dxa"/>
          <w:bottom w:w="0" w:type="dxa"/>
          <w:right w:w="108" w:type="dxa"/>
        </w:tblCellMar>
      </w:tblPr>
      <w:tblGrid>
        <w:gridCol w:w="1783"/>
        <w:gridCol w:w="1480"/>
        <w:gridCol w:w="4229"/>
        <w:gridCol w:w="515"/>
        <w:gridCol w:w="515"/>
      </w:tblGrid>
      <w:tr>
        <w:tblPrEx>
          <w:tblCellMar>
            <w:top w:w="0" w:type="dxa"/>
            <w:left w:w="108" w:type="dxa"/>
            <w:bottom w:w="0" w:type="dxa"/>
            <w:right w:w="108" w:type="dxa"/>
          </w:tblCellMar>
        </w:tblPrEx>
        <w:trPr>
          <w:trHeight w:val="722" w:hRule="atLeast"/>
          <w:jc w:val="center"/>
        </w:trPr>
        <w:tc>
          <w:tcPr>
            <w:tcW w:w="178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板块</w:t>
            </w:r>
          </w:p>
        </w:tc>
        <w:tc>
          <w:tcPr>
            <w:tcW w:w="0" w:type="auto"/>
            <w:tcBorders>
              <w:top w:val="single" w:color="auto" w:sz="4" w:space="0"/>
              <w:left w:val="nil"/>
              <w:bottom w:val="single" w:color="auto" w:sz="4" w:space="0"/>
              <w:right w:val="single" w:color="000000"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w:t>
            </w:r>
          </w:p>
        </w:tc>
        <w:tc>
          <w:tcPr>
            <w:tcW w:w="0" w:type="auto"/>
            <w:tcBorders>
              <w:top w:val="single" w:color="auto" w:sz="4" w:space="0"/>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工程内容</w:t>
            </w:r>
          </w:p>
        </w:tc>
        <w:tc>
          <w:tcPr>
            <w:tcW w:w="0" w:type="auto"/>
            <w:tcBorders>
              <w:top w:val="single" w:color="auto" w:sz="4" w:space="0"/>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0" w:type="auto"/>
            <w:tcBorders>
              <w:top w:val="single" w:color="auto" w:sz="4" w:space="0"/>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783" w:hRule="atLeast"/>
          <w:jc w:val="center"/>
        </w:trPr>
        <w:tc>
          <w:tcPr>
            <w:tcW w:w="1782" w:type="dxa"/>
            <w:vMerge w:val="restart"/>
            <w:tcBorders>
              <w:top w:val="nil"/>
              <w:left w:val="single" w:color="auto" w:sz="4" w:space="0"/>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无人机航拍服务及内业处理</w:t>
            </w: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无人机外业航摄</w:t>
            </w:r>
          </w:p>
        </w:tc>
        <w:tc>
          <w:tcPr>
            <w:tcW w:w="0" w:type="auto"/>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山区高差&gt;300m,正射，地面分辨率5cm，数量7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km</w:t>
            </w:r>
            <w:r>
              <w:rPr>
                <w:rFonts w:ascii="仿宋" w:hAnsi="仿宋" w:eastAsia="仿宋"/>
                <w:color w:val="000000" w:themeColor="text1"/>
                <w:sz w:val="22"/>
                <w:szCs w:val="22"/>
                <w:vertAlign w:val="superscript"/>
                <w14:textFill>
                  <w14:solidFill>
                    <w14:schemeClr w14:val="tx1"/>
                  </w14:solidFill>
                </w14:textFill>
              </w:rPr>
              <w:t>2</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78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航摄像片控制点连测</w:t>
            </w:r>
          </w:p>
        </w:tc>
        <w:tc>
          <w:tcPr>
            <w:tcW w:w="0" w:type="auto"/>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1:2000复杂航摄像片控制点连测7</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幅（1:2000正方形分幅，1个图幅等于1km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79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pStyle w:val="14"/>
              <w:rPr>
                <w:rFonts w:ascii="仿宋" w:hAnsi="仿宋" w:eastAsia="仿宋"/>
                <w:color w:val="000000" w:themeColor="text1"/>
                <w:sz w:val="22"/>
                <w:szCs w:val="22"/>
                <w14:textFill>
                  <w14:solidFill>
                    <w14:schemeClr w14:val="tx1"/>
                  </w14:solidFill>
                </w14:textFill>
              </w:rPr>
            </w:pPr>
          </w:p>
        </w:tc>
        <w:tc>
          <w:tcPr>
            <w:tcW w:w="0" w:type="auto"/>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数字正射影像图(DOM)制作</w:t>
            </w:r>
          </w:p>
        </w:tc>
        <w:tc>
          <w:tcPr>
            <w:tcW w:w="0" w:type="auto"/>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1:500复杂数字正射影像图(DOM)制作1</w:t>
            </w:r>
            <w:r>
              <w:rPr>
                <w:rFonts w:ascii="仿宋" w:hAnsi="仿宋" w:eastAsia="仿宋"/>
                <w:color w:val="000000" w:themeColor="text1"/>
                <w:sz w:val="22"/>
                <w:szCs w:val="22"/>
                <w14:textFill>
                  <w14:solidFill>
                    <w14:schemeClr w14:val="tx1"/>
                  </w14:solidFill>
                </w14:textFill>
              </w:rPr>
              <w:t>15.2</w:t>
            </w:r>
            <w:r>
              <w:rPr>
                <w:rFonts w:hint="eastAsia" w:ascii="仿宋" w:hAnsi="仿宋" w:eastAsia="仿宋"/>
                <w:color w:val="000000" w:themeColor="text1"/>
                <w:sz w:val="22"/>
                <w:szCs w:val="22"/>
                <w14:textFill>
                  <w14:solidFill>
                    <w14:schemeClr w14:val="tx1"/>
                  </w14:solidFill>
                </w14:textFill>
              </w:rPr>
              <w:t>幅（1:500正方形分幅，1个图幅等于0.0625km</w:t>
            </w:r>
            <w:r>
              <w:rPr>
                <w:rFonts w:hint="eastAsia" w:ascii="仿宋" w:hAnsi="仿宋" w:eastAsia="仿宋"/>
                <w:color w:val="000000" w:themeColor="text1"/>
                <w:sz w:val="22"/>
                <w:szCs w:val="22"/>
                <w:vertAlign w:val="superscript"/>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bl>
    <w:p>
      <w:pPr>
        <w:pStyle w:val="18"/>
        <w:numPr>
          <w:ilvl w:val="3"/>
          <w:numId w:val="5"/>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网络安全需求内容</w:t>
      </w:r>
    </w:p>
    <w:tbl>
      <w:tblPr>
        <w:tblStyle w:val="9"/>
        <w:tblW w:w="9067" w:type="dxa"/>
        <w:tblInd w:w="0" w:type="dxa"/>
        <w:tblLayout w:type="autofit"/>
        <w:tblCellMar>
          <w:top w:w="0" w:type="dxa"/>
          <w:left w:w="108" w:type="dxa"/>
          <w:bottom w:w="0" w:type="dxa"/>
          <w:right w:w="108" w:type="dxa"/>
        </w:tblCellMar>
      </w:tblPr>
      <w:tblGrid>
        <w:gridCol w:w="704"/>
        <w:gridCol w:w="1276"/>
        <w:gridCol w:w="5528"/>
        <w:gridCol w:w="851"/>
        <w:gridCol w:w="708"/>
      </w:tblGrid>
      <w:tr>
        <w:tblPrEx>
          <w:tblCellMar>
            <w:top w:w="0" w:type="dxa"/>
            <w:left w:w="108" w:type="dxa"/>
            <w:bottom w:w="0" w:type="dxa"/>
            <w:right w:w="108" w:type="dxa"/>
          </w:tblCellMar>
        </w:tblPrEx>
        <w:trPr>
          <w:trHeight w:val="48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编号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项目名称</w:t>
            </w:r>
          </w:p>
        </w:tc>
        <w:tc>
          <w:tcPr>
            <w:tcW w:w="5528" w:type="dxa"/>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设备参数</w:t>
            </w:r>
          </w:p>
        </w:tc>
        <w:tc>
          <w:tcPr>
            <w:tcW w:w="851" w:type="dxa"/>
            <w:tcBorders>
              <w:top w:val="single" w:color="auto" w:sz="4" w:space="0"/>
              <w:left w:val="single" w:color="auto" w:sz="4" w:space="0"/>
              <w:bottom w:val="single" w:color="000000"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数量</w:t>
            </w:r>
          </w:p>
        </w:tc>
        <w:tc>
          <w:tcPr>
            <w:tcW w:w="708" w:type="dxa"/>
            <w:tcBorders>
              <w:top w:val="single" w:color="auto" w:sz="4" w:space="0"/>
              <w:left w:val="single" w:color="auto" w:sz="4" w:space="0"/>
              <w:bottom w:val="single" w:color="000000"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单位</w:t>
            </w:r>
          </w:p>
        </w:tc>
      </w:tr>
      <w:tr>
        <w:tblPrEx>
          <w:tblCellMar>
            <w:top w:w="0" w:type="dxa"/>
            <w:left w:w="108" w:type="dxa"/>
            <w:bottom w:w="0" w:type="dxa"/>
            <w:right w:w="108" w:type="dxa"/>
          </w:tblCellMar>
        </w:tblPrEx>
        <w:trPr>
          <w:trHeight w:val="294" w:hRule="atLeast"/>
        </w:trPr>
        <w:tc>
          <w:tcPr>
            <w:tcW w:w="704" w:type="dxa"/>
            <w:tcBorders>
              <w:top w:val="nil"/>
              <w:left w:val="single" w:color="auto" w:sz="4" w:space="0"/>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p>
        </w:tc>
        <w:tc>
          <w:tcPr>
            <w:tcW w:w="1276"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bCs/>
                <w:color w:val="000000" w:themeColor="text1"/>
                <w:sz w:val="22"/>
                <w:szCs w:val="22"/>
                <w14:textFill>
                  <w14:solidFill>
                    <w14:schemeClr w14:val="tx1"/>
                  </w14:solidFill>
                </w14:textFill>
              </w:rPr>
              <w:t>网络安全</w:t>
            </w:r>
          </w:p>
        </w:tc>
        <w:tc>
          <w:tcPr>
            <w:tcW w:w="5528" w:type="dxa"/>
            <w:tcBorders>
              <w:top w:val="nil"/>
              <w:left w:val="nil"/>
              <w:bottom w:val="single" w:color="auto" w:sz="4" w:space="0"/>
              <w:right w:val="single" w:color="auto" w:sz="4" w:space="0"/>
            </w:tcBorders>
            <w:shd w:val="clear" w:color="000000" w:fill="DDEBF7"/>
            <w:vAlign w:val="center"/>
          </w:tcPr>
          <w:p>
            <w:pPr>
              <w:pStyle w:val="14"/>
              <w:rPr>
                <w:rFonts w:ascii="仿宋" w:hAnsi="仿宋" w:eastAsia="仿宋"/>
                <w:b/>
                <w:bCs/>
                <w:color w:val="000000" w:themeColor="text1"/>
                <w:sz w:val="22"/>
                <w:szCs w:val="22"/>
                <w14:textFill>
                  <w14:solidFill>
                    <w14:schemeClr w14:val="tx1"/>
                  </w14:solidFill>
                </w14:textFill>
              </w:rPr>
            </w:pPr>
          </w:p>
        </w:tc>
        <w:tc>
          <w:tcPr>
            <w:tcW w:w="851" w:type="dxa"/>
            <w:tcBorders>
              <w:top w:val="nil"/>
              <w:left w:val="nil"/>
              <w:bottom w:val="single" w:color="auto" w:sz="4" w:space="0"/>
              <w:right w:val="single" w:color="auto" w:sz="4" w:space="0"/>
            </w:tcBorders>
            <w:shd w:val="clear" w:color="000000" w:fill="DDEBF7"/>
          </w:tcPr>
          <w:p>
            <w:pPr>
              <w:pStyle w:val="14"/>
              <w:rPr>
                <w:rFonts w:ascii="仿宋" w:hAnsi="仿宋" w:eastAsia="仿宋"/>
                <w:b/>
                <w:bCs/>
                <w:color w:val="000000" w:themeColor="text1"/>
                <w:sz w:val="22"/>
                <w:szCs w:val="22"/>
                <w14:textFill>
                  <w14:solidFill>
                    <w14:schemeClr w14:val="tx1"/>
                  </w14:solidFill>
                </w14:textFill>
              </w:rPr>
            </w:pPr>
          </w:p>
        </w:tc>
        <w:tc>
          <w:tcPr>
            <w:tcW w:w="708" w:type="dxa"/>
            <w:tcBorders>
              <w:top w:val="nil"/>
              <w:left w:val="nil"/>
              <w:bottom w:val="single" w:color="auto" w:sz="4" w:space="0"/>
              <w:right w:val="single" w:color="auto" w:sz="4" w:space="0"/>
            </w:tcBorders>
            <w:shd w:val="clear" w:color="000000" w:fill="DDEBF7"/>
          </w:tcPr>
          <w:p>
            <w:pPr>
              <w:pStyle w:val="14"/>
              <w:rPr>
                <w:rFonts w:ascii="仿宋" w:hAnsi="仿宋" w:eastAsia="仿宋"/>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55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pStyle w:val="14"/>
              <w:jc w:val="both"/>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1276"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防火墙</w:t>
            </w:r>
          </w:p>
        </w:tc>
        <w:tc>
          <w:tcPr>
            <w:tcW w:w="552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▲1、网络层吞吐量≥8G，网络处理能力8Gbps，并发连接≥200万，每秒新建连接10万/秒，2U机架式设备，冗余电源，标准配置板载≥</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个10/100/1000M自适应电口、≥2个SFP光接口、≥2个SFP+光接口，配置≥16个SSLVPN 并发用户数、≥16个IPsecVPN 并发隧道数。</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★2、系统要求为下一代防火墙产品，杜绝UTM产品，原厂商要求参与第二代防火墙标准GA/T1177-2014《信息安全技术 第二代防火墙安全技术要求》标准编制，要求提供相关证明复印件。</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★3、要求支持基于源目的IP地址、源目的安全域、VLAN ID、MAC地址、时间、用户、地理区域、服务协议及应用等多种方式进行访问控制，要求系统具备自主研发的基于用户的安全访问控制技术，投标时必须提供自主知识产权证明复印件并加盖原厂公章。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支持双机热备和双机负载均衡功能，防火墙做双机热备。支持标准VRRP协议，支持路由、透明模式下“主-备”、“主-主”方式部署，设备支持一种多防火墙的负载均衡方法及装置的技术，必须提供自主知识产权证明复印件并加盖原厂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5、设备要求具备：高性能IPv6防火墙系统计算机软件著作权登记证书，计算机信息系统安全专用产品销售许可证，提供相关证明复印件并加盖公章。</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6、提供3年全功能模块授权及升级服务（含防火墙、应用识别库、URL分类特征库、病毒防护特征库、入侵防御特征库升级服务及威胁情报订阅服务）；提供国测信息安全服务资质（云计算安全类）、ITSS云计算服务能力（SaaS服务）标准符合性证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7、提供三年硬件维保及规则库升级服务，签订合同前提供设备制造厂商针对此项目的三年质保函；</w:t>
            </w:r>
          </w:p>
        </w:tc>
        <w:tc>
          <w:tcPr>
            <w:tcW w:w="851"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8"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台</w:t>
            </w:r>
          </w:p>
        </w:tc>
      </w:tr>
      <w:tr>
        <w:tblPrEx>
          <w:tblCellMar>
            <w:top w:w="0" w:type="dxa"/>
            <w:left w:w="108" w:type="dxa"/>
            <w:bottom w:w="0" w:type="dxa"/>
            <w:right w:w="108" w:type="dxa"/>
          </w:tblCellMar>
        </w:tblPrEx>
        <w:trPr>
          <w:trHeight w:val="2569"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p>
        </w:tc>
        <w:tc>
          <w:tcPr>
            <w:tcW w:w="1276"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网络机柜</w:t>
            </w:r>
          </w:p>
        </w:tc>
        <w:tc>
          <w:tcPr>
            <w:tcW w:w="552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▲1、一体化单柜，IP5X，机架空调-3.5kW 直流变频，单相供电，UPS-3kVA,7寸屏，24 位 PDU*1，可视化氛围灯、声光烟感告警；</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2、气体消防插框，具备完整的消防探测、控制、触发系统；</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3、电池包-72V/9Ah-机架式安装（2U)；</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★4、机柜式数据中心产品应提供环境干球温度在24℃、30℃、35℃时，权威第三方机构出具的机柜式数据中心产品PUE值测试报告；</w:t>
            </w:r>
          </w:p>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★5、机柜式数据中心应采用全密封系统，确保制冷系统提供的冷量“只冷设备，不冷环境”，需提供权威第三方机构提供的IP防护等级测试报告，防护等级不低于IP5X防尘等级。</w:t>
            </w:r>
          </w:p>
        </w:tc>
        <w:tc>
          <w:tcPr>
            <w:tcW w:w="851"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8"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套</w:t>
            </w:r>
          </w:p>
        </w:tc>
      </w:tr>
      <w:tr>
        <w:tblPrEx>
          <w:tblCellMar>
            <w:top w:w="0" w:type="dxa"/>
            <w:left w:w="108" w:type="dxa"/>
            <w:bottom w:w="0" w:type="dxa"/>
            <w:right w:w="108" w:type="dxa"/>
          </w:tblCellMar>
        </w:tblPrEx>
        <w:trPr>
          <w:trHeight w:val="155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p>
        </w:tc>
        <w:tc>
          <w:tcPr>
            <w:tcW w:w="1276" w:type="dxa"/>
            <w:tcBorders>
              <w:top w:val="nil"/>
              <w:left w:val="nil"/>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交换机</w:t>
            </w:r>
          </w:p>
        </w:tc>
        <w:tc>
          <w:tcPr>
            <w:tcW w:w="5528" w:type="dxa"/>
            <w:tcBorders>
              <w:top w:val="nil"/>
              <w:left w:val="nil"/>
              <w:bottom w:val="single" w:color="auto" w:sz="4" w:space="0"/>
              <w:right w:val="single" w:color="auto" w:sz="4" w:space="0"/>
            </w:tcBorders>
            <w:shd w:val="clear" w:color="000000" w:fill="FFFFFF"/>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三层交换机，不少于24个10/100/1000BASE-T端口，不少于4个1000Base-X SFP端口；交换容量不少于交换容量不少于758Gbps；包转发率不少于372Mbps；</w:t>
            </w:r>
          </w:p>
        </w:tc>
        <w:tc>
          <w:tcPr>
            <w:tcW w:w="851"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8" w:type="dxa"/>
            <w:tcBorders>
              <w:top w:val="nil"/>
              <w:left w:val="nil"/>
              <w:bottom w:val="single" w:color="auto" w:sz="4" w:space="0"/>
              <w:right w:val="single" w:color="auto" w:sz="4" w:space="0"/>
            </w:tcBorders>
            <w:shd w:val="clear" w:color="000000" w:fill="FFFFFF"/>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台</w:t>
            </w:r>
          </w:p>
        </w:tc>
      </w:tr>
      <w:tr>
        <w:tblPrEx>
          <w:tblCellMar>
            <w:top w:w="0" w:type="dxa"/>
            <w:left w:w="108" w:type="dxa"/>
            <w:bottom w:w="0" w:type="dxa"/>
            <w:right w:w="108" w:type="dxa"/>
          </w:tblCellMar>
        </w:tblPrEx>
        <w:trPr>
          <w:trHeight w:val="1038"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w:t>
            </w:r>
          </w:p>
        </w:tc>
        <w:tc>
          <w:tcPr>
            <w:tcW w:w="1276"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政务云安全集成</w:t>
            </w:r>
          </w:p>
        </w:tc>
        <w:tc>
          <w:tcPr>
            <w:tcW w:w="552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包括运维管理中心、防火墙、日志审计、入侵检测、堡垒机、主机加固、数据库审计等相应云服务的集成。</w:t>
            </w:r>
          </w:p>
        </w:tc>
        <w:tc>
          <w:tcPr>
            <w:tcW w:w="851" w:type="dxa"/>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8" w:type="dxa"/>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r>
        <w:tblPrEx>
          <w:tblCellMar>
            <w:top w:w="0" w:type="dxa"/>
            <w:left w:w="108" w:type="dxa"/>
            <w:bottom w:w="0" w:type="dxa"/>
            <w:right w:w="108" w:type="dxa"/>
          </w:tblCellMar>
        </w:tblPrEx>
        <w:trPr>
          <w:trHeight w:val="686"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w:t>
            </w:r>
          </w:p>
        </w:tc>
        <w:tc>
          <w:tcPr>
            <w:tcW w:w="1276" w:type="dxa"/>
            <w:tcBorders>
              <w:top w:val="nil"/>
              <w:left w:val="nil"/>
              <w:bottom w:val="single" w:color="auto" w:sz="4" w:space="0"/>
              <w:right w:val="single" w:color="auto" w:sz="4" w:space="0"/>
            </w:tcBorders>
            <w:shd w:val="clear" w:color="auto" w:fill="auto"/>
            <w:vAlign w:val="center"/>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等保评测</w:t>
            </w:r>
          </w:p>
        </w:tc>
        <w:tc>
          <w:tcPr>
            <w:tcW w:w="5528" w:type="dxa"/>
            <w:tcBorders>
              <w:top w:val="nil"/>
              <w:left w:val="nil"/>
              <w:bottom w:val="single" w:color="auto" w:sz="4" w:space="0"/>
              <w:right w:val="single" w:color="auto" w:sz="4" w:space="0"/>
            </w:tcBorders>
            <w:shd w:val="clear" w:color="auto" w:fill="auto"/>
            <w:vAlign w:val="center"/>
          </w:tcPr>
          <w:p>
            <w:pPr>
              <w:pStyle w:val="14"/>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按照评测指南要求开展。</w:t>
            </w:r>
          </w:p>
        </w:tc>
        <w:tc>
          <w:tcPr>
            <w:tcW w:w="851" w:type="dxa"/>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8" w:type="dxa"/>
            <w:tcBorders>
              <w:top w:val="nil"/>
              <w:left w:val="nil"/>
              <w:bottom w:val="single" w:color="auto" w:sz="4" w:space="0"/>
              <w:right w:val="single" w:color="auto" w:sz="4" w:space="0"/>
            </w:tcBorders>
          </w:tcPr>
          <w:p>
            <w:pPr>
              <w:pStyle w:val="14"/>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项</w:t>
            </w:r>
          </w:p>
        </w:tc>
      </w:tr>
    </w:tbl>
    <w:p>
      <w:pPr>
        <w:pStyle w:val="8"/>
        <w:spacing w:before="0" w:beforeAutospacing="0" w:after="0" w:afterAutospacing="0" w:line="500" w:lineRule="exact"/>
        <w:ind w:firstLine="420"/>
        <w:rPr>
          <w:rFonts w:ascii="仿宋_GB2312" w:cs="仿宋_GB2312"/>
          <w:b/>
          <w:color w:val="auto"/>
          <w:sz w:val="28"/>
          <w:szCs w:val="28"/>
        </w:rPr>
      </w:pPr>
      <w:r>
        <w:rPr>
          <w:rFonts w:hint="eastAsia" w:cs="宋体"/>
          <w:b/>
          <w:color w:val="auto"/>
          <w:sz w:val="21"/>
          <w:szCs w:val="21"/>
        </w:rPr>
        <w:t>三、招标文件第</w:t>
      </w:r>
      <w:r>
        <w:rPr>
          <w:rFonts w:cs="宋体"/>
          <w:b/>
          <w:color w:val="auto"/>
          <w:sz w:val="21"/>
          <w:szCs w:val="21"/>
        </w:rPr>
        <w:t>19</w:t>
      </w:r>
      <w:r>
        <w:rPr>
          <w:rFonts w:hint="eastAsia" w:cs="宋体"/>
          <w:b/>
          <w:color w:val="auto"/>
          <w:sz w:val="21"/>
          <w:szCs w:val="21"/>
        </w:rPr>
        <w:t>页：“招标公告”中，</w:t>
      </w:r>
    </w:p>
    <w:p>
      <w:pPr>
        <w:pStyle w:val="8"/>
        <w:spacing w:before="0" w:beforeAutospacing="0" w:after="0" w:afterAutospacing="0" w:line="500" w:lineRule="exact"/>
        <w:ind w:firstLine="420"/>
        <w:rPr>
          <w:rFonts w:cs="宋体"/>
          <w:b/>
          <w:color w:val="auto"/>
          <w:sz w:val="21"/>
          <w:szCs w:val="21"/>
        </w:rPr>
      </w:pPr>
      <w:r>
        <w:rPr>
          <w:rFonts w:hint="eastAsia" w:cs="宋体"/>
          <w:b/>
          <w:color w:val="auto"/>
          <w:sz w:val="21"/>
          <w:szCs w:val="21"/>
        </w:rPr>
        <w:t>原来为：</w:t>
      </w:r>
    </w:p>
    <w:p>
      <w:pPr>
        <w:pStyle w:val="8"/>
        <w:spacing w:before="0" w:beforeAutospacing="0" w:after="0" w:afterAutospacing="0" w:line="360" w:lineRule="auto"/>
        <w:rPr>
          <w:rFonts w:ascii="Times New Roman" w:hAnsi="Times New Roman"/>
          <w:color w:val="000000" w:themeColor="text1"/>
          <w:kern w:val="2"/>
          <w:sz w:val="21"/>
          <w:szCs w:val="20"/>
          <w14:textFill>
            <w14:solidFill>
              <w14:schemeClr w14:val="tx1"/>
            </w14:solidFill>
          </w14:textFill>
        </w:rPr>
      </w:pPr>
      <w:r>
        <w:rPr>
          <w:color w:val="000000" w:themeColor="text1"/>
          <w14:textFill>
            <w14:solidFill>
              <w14:schemeClr w14:val="tx1"/>
            </w14:solidFill>
          </w14:textFill>
        </w:rPr>
        <w:drawing>
          <wp:inline distT="0" distB="0" distL="0" distR="0">
            <wp:extent cx="5274310" cy="26847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685071"/>
                    </a:xfrm>
                    <a:prstGeom prst="rect">
                      <a:avLst/>
                    </a:prstGeom>
                    <a:noFill/>
                    <a:ln>
                      <a:noFill/>
                    </a:ln>
                  </pic:spPr>
                </pic:pic>
              </a:graphicData>
            </a:graphic>
          </wp:inline>
        </w:drawing>
      </w:r>
    </w:p>
    <w:p>
      <w:pPr>
        <w:pStyle w:val="8"/>
        <w:spacing w:before="0" w:beforeAutospacing="0" w:after="0" w:afterAutospacing="0" w:line="360" w:lineRule="auto"/>
        <w:rPr>
          <w:rFonts w:ascii="Times New Roman" w:hAnsi="Times New Roman"/>
          <w:b/>
          <w:color w:val="000000" w:themeColor="text1"/>
          <w:kern w:val="2"/>
          <w:sz w:val="21"/>
          <w:szCs w:val="20"/>
          <w14:textFill>
            <w14:solidFill>
              <w14:schemeClr w14:val="tx1"/>
            </w14:solidFill>
          </w14:textFill>
        </w:rPr>
      </w:pPr>
      <w:r>
        <w:rPr>
          <w:rFonts w:ascii="Times New Roman" w:hAnsi="Times New Roman"/>
          <w:color w:val="000000" w:themeColor="text1"/>
          <w:kern w:val="2"/>
          <w:sz w:val="21"/>
          <w:szCs w:val="20"/>
          <w14:textFill>
            <w14:solidFill>
              <w14:schemeClr w14:val="tx1"/>
            </w14:solidFill>
          </w14:textFill>
        </w:rPr>
        <w:tab/>
      </w:r>
      <w:r>
        <w:rPr>
          <w:rFonts w:ascii="Times New Roman" w:hAnsi="Times New Roman"/>
          <w:b/>
          <w:color w:val="000000" w:themeColor="text1"/>
          <w:kern w:val="2"/>
          <w:sz w:val="21"/>
          <w:szCs w:val="20"/>
          <w14:textFill>
            <w14:solidFill>
              <w14:schemeClr w14:val="tx1"/>
            </w14:solidFill>
          </w14:textFill>
        </w:rPr>
        <w:t>现改为：</w:t>
      </w:r>
    </w:p>
    <w:p>
      <w:pPr>
        <w:pStyle w:val="8"/>
        <w:spacing w:before="0" w:beforeAutospacing="0" w:after="0" w:afterAutospacing="0" w:line="360" w:lineRule="auto"/>
        <w:rPr>
          <w:rFonts w:hint="eastAsia" w:ascii="Times New Roman" w:hAnsi="Times New Roman"/>
          <w:color w:val="000000" w:themeColor="text1"/>
          <w:kern w:val="2"/>
          <w:sz w:val="21"/>
          <w:szCs w:val="20"/>
          <w14:textFill>
            <w14:solidFill>
              <w14:schemeClr w14:val="tx1"/>
            </w14:solidFill>
          </w14:textFill>
        </w:rPr>
      </w:pPr>
      <w:r>
        <w:drawing>
          <wp:inline distT="0" distB="0" distL="0" distR="0">
            <wp:extent cx="5274310" cy="26733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74310" cy="2673969"/>
                    </a:xfrm>
                    <a:prstGeom prst="rect">
                      <a:avLst/>
                    </a:prstGeom>
                  </pic:spPr>
                </pic:pic>
              </a:graphicData>
            </a:graphic>
          </wp:inline>
        </w:drawing>
      </w:r>
    </w:p>
    <w:p>
      <w:pPr>
        <w:pStyle w:val="8"/>
        <w:spacing w:before="0" w:beforeAutospacing="0" w:after="0" w:afterAutospacing="0" w:line="500" w:lineRule="exact"/>
        <w:ind w:firstLine="420"/>
        <w:rPr>
          <w:rFonts w:ascii="仿宋_GB2312" w:cs="仿宋_GB2312"/>
          <w:b/>
          <w:color w:val="auto"/>
          <w:sz w:val="28"/>
          <w:szCs w:val="28"/>
        </w:rPr>
      </w:pPr>
      <w:r>
        <w:rPr>
          <w:rFonts w:hint="eastAsia" w:cs="宋体"/>
          <w:b/>
          <w:color w:val="auto"/>
          <w:sz w:val="21"/>
          <w:szCs w:val="21"/>
        </w:rPr>
        <w:t>四、招标文件第</w:t>
      </w:r>
      <w:r>
        <w:rPr>
          <w:rFonts w:cs="宋体"/>
          <w:b/>
          <w:color w:val="auto"/>
          <w:sz w:val="21"/>
          <w:szCs w:val="21"/>
        </w:rPr>
        <w:t>27</w:t>
      </w:r>
      <w:r>
        <w:rPr>
          <w:rFonts w:hint="eastAsia" w:cs="宋体"/>
          <w:b/>
          <w:color w:val="auto"/>
          <w:sz w:val="21"/>
          <w:szCs w:val="21"/>
        </w:rPr>
        <w:t>页：“招标公告”中，</w:t>
      </w:r>
    </w:p>
    <w:p>
      <w:pPr>
        <w:pStyle w:val="8"/>
        <w:spacing w:before="0" w:beforeAutospacing="0" w:after="0" w:afterAutospacing="0" w:line="500" w:lineRule="exact"/>
        <w:ind w:firstLine="420"/>
        <w:rPr>
          <w:rFonts w:cs="宋体"/>
          <w:b/>
          <w:color w:val="auto"/>
          <w:sz w:val="21"/>
          <w:szCs w:val="21"/>
        </w:rPr>
      </w:pPr>
      <w:r>
        <w:rPr>
          <w:rFonts w:hint="eastAsia" w:cs="宋体"/>
          <w:b/>
          <w:color w:val="auto"/>
          <w:sz w:val="21"/>
          <w:szCs w:val="21"/>
        </w:rPr>
        <w:t>原来为：</w:t>
      </w:r>
    </w:p>
    <w:p>
      <w:pPr>
        <w:pStyle w:val="18"/>
        <w:numPr>
          <w:ilvl w:val="0"/>
          <w:numId w:val="0"/>
        </w:numPr>
        <w:spacing w:before="156" w:after="156"/>
        <w:rPr>
          <w:color w:val="000000" w:themeColor="text1"/>
          <w14:textFill>
            <w14:solidFill>
              <w14:schemeClr w14:val="tx1"/>
            </w14:solidFill>
          </w14:textFill>
        </w:rPr>
      </w:pPr>
      <w:bookmarkStart w:id="5" w:name="_Toc109573325"/>
      <w:r>
        <w:rPr>
          <w:color w:val="000000" w:themeColor="text1"/>
          <w14:textFill>
            <w14:solidFill>
              <w14:schemeClr w14:val="tx1"/>
            </w14:solidFill>
          </w14:textFill>
        </w:rPr>
        <w:t>4.2.3.3</w:t>
      </w:r>
      <w:r>
        <w:rPr>
          <w:rFonts w:hint="eastAsia"/>
          <w:color w:val="000000" w:themeColor="text1"/>
          <w14:textFill>
            <w14:solidFill>
              <w14:schemeClr w14:val="tx1"/>
            </w14:solidFill>
          </w14:textFill>
        </w:rPr>
        <w:t>问题全量归集</w:t>
      </w:r>
      <w:bookmarkEnd w:id="5"/>
    </w:p>
    <w:p>
      <w:pPr>
        <w:pStyle w:val="4"/>
        <w:spacing w:before="156" w:after="15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省河湖库保护数字化应用建设基础上，汇集水利部、省水利厅、丽水市水利局、遂昌县水利局发现的水域问题；智慧巡检系统、河湖长APP、智慧环保系统、美丽河湖智慧管护、渔业执法监管系统、丽水市智慧水电监管平台、基层治理4平台等平台发现的水域问题。</w:t>
      </w:r>
    </w:p>
    <w:p>
      <w:pPr>
        <w:pStyle w:val="18"/>
        <w:numPr>
          <w:ilvl w:val="0"/>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4.2.3.4</w:t>
      </w:r>
      <w:r>
        <w:rPr>
          <w:rFonts w:hint="eastAsia"/>
          <w:color w:val="000000" w:themeColor="text1"/>
          <w14:textFill>
            <w14:solidFill>
              <w14:schemeClr w14:val="tx1"/>
            </w14:solidFill>
          </w14:textFill>
        </w:rPr>
        <w:t>问题四定派发</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根据水域保护基础一张图、事项严重程度评判标准、基层治理一件事一本账，开发水域问题四定模型，自动定位、定性、定责、定人；</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定位：根据问题所在位置，基于水域保护基础一张图，自动分析研判问题关联水域和涉及乡镇；</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定性：定量为主、定性为辅，细化水域问题一件事18项事项严重程度评判标准，判定问题类型、问题严重程度；</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定责：根据问题定性及“遂昌水域问题责任体系”梳理成果，自动判定问题责任单位，根据问题定位判定责任乡镇；</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定人：根据问题定位、关联河段及河长树资料，自动判定问题关联的各级河湖长。</w:t>
      </w:r>
    </w:p>
    <w:p>
      <w:pPr>
        <w:pStyle w:val="18"/>
        <w:numPr>
          <w:ilvl w:val="0"/>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4.2.3.5</w:t>
      </w:r>
      <w:r>
        <w:rPr>
          <w:rFonts w:hint="eastAsia"/>
          <w:color w:val="000000" w:themeColor="text1"/>
          <w14:textFill>
            <w14:solidFill>
              <w14:schemeClr w14:val="tx1"/>
            </w14:solidFill>
          </w14:textFill>
        </w:rPr>
        <w:t>问题协同处置</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发水域监管一件事统一网关，与基层治理四平台对接，由乡镇（街道）统一处置水域问题；与丽水市河长制平台打通，由各级河长推进水域问题处置；根据“遂昌县水域问题责任体系”，为资规、环保、住建、交通、农业农村、执法等相关部门开通水域监管一件事访问入口，由责任单位协同问题处置。</w:t>
      </w:r>
    </w:p>
    <w:p>
      <w:pPr>
        <w:pStyle w:val="18"/>
        <w:numPr>
          <w:ilvl w:val="0"/>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4.2.3.6</w:t>
      </w:r>
      <w:r>
        <w:rPr>
          <w:rFonts w:hint="eastAsia"/>
          <w:color w:val="000000" w:themeColor="text1"/>
          <w14:textFill>
            <w14:solidFill>
              <w14:schemeClr w14:val="tx1"/>
            </w14:solidFill>
          </w14:textFill>
        </w:rPr>
        <w:t>问题考核复核</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根据问题来源、问题类别“谁负责，谁销号”，最终由遂昌县水利局复核闭环；建立遂昌县水域监管一件事考核评价体系，根据每个流程工作完成情况，系统自动完成各单位、乡镇的线上计分和排名。</w:t>
      </w:r>
    </w:p>
    <w:p>
      <w:pPr>
        <w:pStyle w:val="18"/>
        <w:numPr>
          <w:ilvl w:val="0"/>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4.2.3.7</w:t>
      </w:r>
      <w:r>
        <w:rPr>
          <w:rFonts w:hint="eastAsia"/>
          <w:color w:val="000000" w:themeColor="text1"/>
          <w14:textFill>
            <w14:solidFill>
              <w14:schemeClr w14:val="tx1"/>
            </w14:solidFill>
          </w14:textFill>
        </w:rPr>
        <w:t>基层治理四平台适配改造</w:t>
      </w:r>
    </w:p>
    <w:p>
      <w:pPr>
        <w:pStyle w:val="2"/>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基层治理四平台适配协同处置改造</w:t>
      </w:r>
      <w:r>
        <w:rPr>
          <w:rFonts w:hint="eastAsia"/>
          <w:color w:val="000000" w:themeColor="text1"/>
          <w14:textFill>
            <w14:solidFill>
              <w14:schemeClr w14:val="tx1"/>
            </w14:solidFill>
          </w14:textFill>
        </w:rPr>
        <w:t>.</w:t>
      </w:r>
    </w:p>
    <w:p>
      <w:pPr>
        <w:pStyle w:val="8"/>
        <w:spacing w:before="0" w:beforeAutospacing="0" w:after="0" w:afterAutospacing="0" w:line="500" w:lineRule="exact"/>
        <w:rPr>
          <w:rFonts w:cs="宋体"/>
          <w:b/>
          <w:color w:val="auto"/>
          <w:sz w:val="21"/>
          <w:szCs w:val="21"/>
        </w:rPr>
      </w:pPr>
      <w:r>
        <w:rPr>
          <w:rFonts w:hint="eastAsia" w:cs="宋体"/>
          <w:b/>
          <w:color w:val="auto"/>
          <w:sz w:val="21"/>
          <w:szCs w:val="21"/>
        </w:rPr>
        <w:t xml:space="preserve"> </w:t>
      </w:r>
      <w:r>
        <w:rPr>
          <w:rFonts w:cs="宋体"/>
          <w:b/>
          <w:color w:val="auto"/>
          <w:sz w:val="21"/>
          <w:szCs w:val="21"/>
        </w:rPr>
        <w:t xml:space="preserve">  现改为：</w:t>
      </w:r>
    </w:p>
    <w:p>
      <w:pPr>
        <w:pStyle w:val="18"/>
        <w:numPr>
          <w:ilvl w:val="3"/>
          <w:numId w:val="6"/>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水域监管一件事集成</w:t>
      </w:r>
    </w:p>
    <w:p>
      <w:pPr>
        <w:pStyle w:val="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集成“美丽河湖面一件事”中水域监管的问题全量归集、问题四定派发、问题协同处置、问题复核考核信息。</w:t>
      </w:r>
    </w:p>
    <w:p>
      <w:pPr>
        <w:pStyle w:val="18"/>
        <w:numPr>
          <w:ilvl w:val="3"/>
          <w:numId w:val="6"/>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水域监管一件事试点服务</w:t>
      </w:r>
    </w:p>
    <w:p>
      <w:pPr>
        <w:pStyle w:val="2"/>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水域监管业务事项责任体系梳理、水域监管流程重塑梳理、水域监管绩效考核体系梳理。</w:t>
      </w:r>
    </w:p>
    <w:p>
      <w:pPr>
        <w:pStyle w:val="18"/>
        <w:numPr>
          <w:ilvl w:val="3"/>
          <w:numId w:val="6"/>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基层治理四平台适配改造</w:t>
      </w:r>
    </w:p>
    <w:p>
      <w:pPr>
        <w:pStyle w:val="2"/>
        <w:ind w:firstLine="480"/>
        <w:rPr>
          <w:rFonts w:hint="eastAsia" w:ascii="仿宋_GB2312" w:eastAsia="仿宋_GB2312" w:cs="仿宋_GB2312"/>
          <w:color w:val="auto"/>
          <w:sz w:val="28"/>
          <w:szCs w:val="28"/>
        </w:rPr>
      </w:pPr>
      <w:r>
        <w:rPr>
          <w:rFonts w:hint="eastAsia" w:ascii="仿宋" w:hAnsi="仿宋" w:eastAsia="仿宋" w:cs="仿宋"/>
          <w:color w:val="000000" w:themeColor="text1"/>
          <w:sz w:val="24"/>
          <w:szCs w:val="24"/>
          <w14:textFill>
            <w14:solidFill>
              <w14:schemeClr w14:val="tx1"/>
            </w14:solidFill>
          </w14:textFill>
        </w:rPr>
        <w:t>关于水域监管事项适配改造：（1）场景模块功能新增、迭代；（2）新增统计报表功能；（3）新增分权分角色工作台功能；（4）相关数据接口调用对接。</w:t>
      </w:r>
    </w:p>
    <w:p>
      <w:pPr>
        <w:pStyle w:val="8"/>
        <w:spacing w:before="0" w:beforeAutospacing="0" w:after="0" w:afterAutospacing="0" w:line="500" w:lineRule="exact"/>
        <w:ind w:firstLine="420"/>
        <w:rPr>
          <w:rFonts w:ascii="仿宋_GB2312" w:cs="仿宋_GB2312"/>
          <w:b/>
          <w:color w:val="auto"/>
          <w:sz w:val="28"/>
          <w:szCs w:val="28"/>
        </w:rPr>
      </w:pPr>
      <w:r>
        <w:rPr>
          <w:rFonts w:hint="eastAsia" w:cs="宋体"/>
          <w:b/>
          <w:color w:val="auto"/>
          <w:sz w:val="21"/>
          <w:szCs w:val="21"/>
        </w:rPr>
        <w:t>五、招标文件第</w:t>
      </w:r>
      <w:r>
        <w:rPr>
          <w:rFonts w:cs="宋体"/>
          <w:b/>
          <w:color w:val="auto"/>
          <w:sz w:val="21"/>
          <w:szCs w:val="21"/>
        </w:rPr>
        <w:t>45</w:t>
      </w:r>
      <w:r>
        <w:rPr>
          <w:rFonts w:hint="eastAsia" w:cs="宋体"/>
          <w:b/>
          <w:color w:val="auto"/>
          <w:sz w:val="21"/>
          <w:szCs w:val="21"/>
        </w:rPr>
        <w:t>页：“招标公告”中，</w:t>
      </w:r>
    </w:p>
    <w:p>
      <w:pPr>
        <w:pStyle w:val="8"/>
        <w:spacing w:before="0" w:beforeAutospacing="0" w:after="0" w:afterAutospacing="0" w:line="500" w:lineRule="exact"/>
        <w:ind w:firstLine="420"/>
        <w:rPr>
          <w:rFonts w:cs="宋体"/>
          <w:b/>
          <w:color w:val="auto"/>
          <w:sz w:val="21"/>
          <w:szCs w:val="21"/>
        </w:rPr>
      </w:pPr>
      <w:r>
        <w:rPr>
          <w:rFonts w:hint="eastAsia" w:cs="宋体"/>
          <w:b/>
          <w:color w:val="auto"/>
          <w:sz w:val="21"/>
          <w:szCs w:val="21"/>
        </w:rPr>
        <w:t>原来为：</w:t>
      </w:r>
    </w:p>
    <w:p>
      <w:pPr>
        <w:pStyle w:val="23"/>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第八条  服务期</w:t>
      </w:r>
    </w:p>
    <w:p>
      <w:pPr>
        <w:spacing w:line="360" w:lineRule="auto"/>
        <w:rPr>
          <w:rFonts w:ascii="仿宋" w:hAnsi="仿宋" w:eastAsia="仿宋" w:cs="仿宋"/>
          <w:bCs/>
          <w:color w:val="000000" w:themeColor="text1"/>
          <w:sz w:val="24"/>
          <w:szCs w:val="24"/>
          <w14:textFill>
            <w14:solidFill>
              <w14:schemeClr w14:val="tx1"/>
            </w14:solidFill>
          </w14:textFill>
        </w:rPr>
      </w:pPr>
      <w:bookmarkStart w:id="6" w:name="_Toc11560"/>
      <w:bookmarkStart w:id="7" w:name="_Toc20871"/>
      <w:bookmarkStart w:id="8" w:name="_Toc6347"/>
      <w:bookmarkStart w:id="9" w:name="_Toc11460"/>
      <w:bookmarkStart w:id="10" w:name="_Toc4063"/>
      <w:bookmarkStart w:id="11" w:name="_Toc9404"/>
      <w:bookmarkStart w:id="12" w:name="_Toc15163"/>
      <w:r>
        <w:rPr>
          <w:rFonts w:hint="eastAsia" w:ascii="仿宋" w:hAnsi="仿宋" w:eastAsia="仿宋" w:cs="仿宋"/>
          <w:b/>
          <w:color w:val="000000" w:themeColor="text1"/>
          <w:sz w:val="24"/>
          <w14:textFill>
            <w14:solidFill>
              <w14:schemeClr w14:val="tx1"/>
            </w14:solidFill>
          </w14:textFill>
        </w:rPr>
        <w:t xml:space="preserve">   2022年  月  日前完成供货安装并通过验收，</w:t>
      </w:r>
      <w:r>
        <w:rPr>
          <w:rFonts w:hint="eastAsia" w:ascii="仿宋" w:hAnsi="仿宋" w:eastAsia="仿宋" w:cs="仿宋"/>
          <w:bCs/>
          <w:color w:val="000000" w:themeColor="text1"/>
          <w:sz w:val="24"/>
          <w:szCs w:val="24"/>
          <w14:textFill>
            <w14:solidFill>
              <w14:schemeClr w14:val="tx1"/>
            </w14:solidFill>
          </w14:textFill>
        </w:rPr>
        <w:t>如遇不可抗力因素导致合同无法按期履行，双方协商解决，期效顺延。</w:t>
      </w:r>
    </w:p>
    <w:p>
      <w:pPr>
        <w:pStyle w:val="23"/>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  货款支付</w:t>
      </w:r>
      <w:bookmarkEnd w:id="6"/>
      <w:bookmarkEnd w:id="7"/>
      <w:bookmarkEnd w:id="8"/>
      <w:bookmarkEnd w:id="9"/>
      <w:bookmarkEnd w:id="10"/>
      <w:bookmarkEnd w:id="11"/>
      <w:bookmarkEnd w:id="12"/>
    </w:p>
    <w:p>
      <w:pPr>
        <w:adjustRightInd w:val="0"/>
        <w:snapToGrid w:val="0"/>
        <w:spacing w:line="312"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第一次付款：合同签订后7个工作日内支付合同总价的40%作为项目预付款；</w:t>
      </w:r>
    </w:p>
    <w:p>
      <w:pPr>
        <w:adjustRightInd w:val="0"/>
        <w:snapToGrid w:val="0"/>
        <w:spacing w:line="312"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第二次付款：甲方确认项目验收合格后支付至合同总价的100%</w:t>
      </w:r>
      <w:r>
        <w:rPr>
          <w:rFonts w:hint="eastAsia" w:ascii="仿宋" w:hAnsi="仿宋" w:eastAsia="仿宋" w:cs="仿宋"/>
          <w:bCs/>
          <w:color w:val="000000" w:themeColor="text1"/>
          <w:sz w:val="24"/>
          <w:szCs w:val="24"/>
          <w:lang w:val="zh-CN"/>
          <w14:textFill>
            <w14:solidFill>
              <w14:schemeClr w14:val="tx1"/>
            </w14:solidFill>
          </w14:textFill>
        </w:rPr>
        <w:t>；</w:t>
      </w:r>
    </w:p>
    <w:p>
      <w:pPr>
        <w:adjustRightInd w:val="0"/>
        <w:snapToGrid w:val="0"/>
        <w:spacing w:line="312" w:lineRule="auto"/>
        <w:ind w:firstLine="480" w:firstLineChars="200"/>
        <w:rPr>
          <w:rFonts w:cs="宋体"/>
          <w:b/>
          <w:color w:val="auto"/>
          <w:sz w:val="21"/>
          <w:szCs w:val="21"/>
        </w:rPr>
      </w:pPr>
      <w:r>
        <w:rPr>
          <w:rFonts w:hint="eastAsia" w:ascii="仿宋" w:hAnsi="仿宋" w:eastAsia="仿宋" w:cs="仿宋"/>
          <w:bCs/>
          <w:color w:val="000000" w:themeColor="text1"/>
          <w:sz w:val="24"/>
          <w:szCs w:val="24"/>
          <w14:textFill>
            <w14:solidFill>
              <w14:schemeClr w14:val="tx1"/>
            </w14:solidFill>
          </w14:textFill>
        </w:rPr>
        <w:t>注：货款凭正式发票、合同由采购单位结算。</w:t>
      </w:r>
    </w:p>
    <w:p>
      <w:pPr>
        <w:pStyle w:val="8"/>
        <w:spacing w:before="0" w:beforeAutospacing="0" w:after="0" w:afterAutospacing="0" w:line="500" w:lineRule="exact"/>
        <w:ind w:firstLine="420"/>
        <w:rPr>
          <w:rFonts w:cs="宋体"/>
          <w:b/>
          <w:color w:val="auto"/>
          <w:sz w:val="21"/>
          <w:szCs w:val="21"/>
        </w:rPr>
      </w:pPr>
      <w:r>
        <w:rPr>
          <w:rFonts w:cs="宋体"/>
          <w:b/>
          <w:color w:val="auto"/>
          <w:sz w:val="21"/>
          <w:szCs w:val="21"/>
        </w:rPr>
        <w:t>现改为：</w:t>
      </w:r>
    </w:p>
    <w:p>
      <w:pPr>
        <w:pStyle w:val="23"/>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第八条  服务期</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2022年12月31日前完成供货安装并通过验收，</w:t>
      </w:r>
      <w:r>
        <w:rPr>
          <w:rFonts w:hint="eastAsia" w:ascii="仿宋" w:hAnsi="仿宋" w:eastAsia="仿宋" w:cs="仿宋"/>
          <w:bCs/>
          <w:color w:val="000000" w:themeColor="text1"/>
          <w:sz w:val="24"/>
          <w:szCs w:val="24"/>
          <w14:textFill>
            <w14:solidFill>
              <w14:schemeClr w14:val="tx1"/>
            </w14:solidFill>
          </w14:textFill>
        </w:rPr>
        <w:t>如遇不可抗力因素导致合同无法按期履行，双方协商解决，期效顺延。</w:t>
      </w:r>
    </w:p>
    <w:p>
      <w:pPr>
        <w:pStyle w:val="23"/>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  货款支付</w:t>
      </w:r>
    </w:p>
    <w:p>
      <w:pPr>
        <w:adjustRightInd w:val="0"/>
        <w:snapToGrid w:val="0"/>
        <w:spacing w:line="312"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第一次付款：合同签订后7个工作日内支付合同总价的</w:t>
      </w:r>
      <w:r>
        <w:rPr>
          <w:rFonts w:ascii="仿宋" w:hAnsi="仿宋" w:eastAsia="仿宋" w:cs="仿宋"/>
          <w:bCs/>
          <w:color w:val="000000" w:themeColor="text1"/>
          <w:sz w:val="24"/>
          <w:szCs w:val="24"/>
          <w14:textFill>
            <w14:solidFill>
              <w14:schemeClr w14:val="tx1"/>
            </w14:solidFill>
          </w14:textFill>
        </w:rPr>
        <w:t>30</w:t>
      </w:r>
      <w:r>
        <w:rPr>
          <w:rFonts w:hint="eastAsia" w:ascii="仿宋" w:hAnsi="仿宋" w:eastAsia="仿宋" w:cs="仿宋"/>
          <w:bCs/>
          <w:color w:val="000000" w:themeColor="text1"/>
          <w:sz w:val="24"/>
          <w:szCs w:val="24"/>
          <w14:textFill>
            <w14:solidFill>
              <w14:schemeClr w14:val="tx1"/>
            </w14:solidFill>
          </w14:textFill>
        </w:rPr>
        <w:t>%作为项目预付款；</w:t>
      </w:r>
    </w:p>
    <w:p>
      <w:pPr>
        <w:adjustRightInd w:val="0"/>
        <w:snapToGrid w:val="0"/>
        <w:spacing w:line="312" w:lineRule="auto"/>
        <w:ind w:firstLine="480" w:firstLineChars="200"/>
        <w:rPr>
          <w:rFonts w:ascii="仿宋" w:hAnsi="仿宋" w:eastAsia="仿宋" w:cs="仿宋"/>
          <w:bCs/>
          <w:color w:val="000000" w:themeColor="text1"/>
          <w:sz w:val="24"/>
          <w:szCs w:val="24"/>
          <w:lang w:val="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第二次付款：甲方确认项目验收合格后支付至合同总价的</w:t>
      </w:r>
      <w:r>
        <w:rPr>
          <w:rFonts w:ascii="仿宋" w:hAnsi="仿宋" w:eastAsia="仿宋" w:cs="仿宋"/>
          <w:bCs/>
          <w:color w:val="000000" w:themeColor="text1"/>
          <w:sz w:val="24"/>
          <w:szCs w:val="24"/>
          <w14:textFill>
            <w14:solidFill>
              <w14:schemeClr w14:val="tx1"/>
            </w14:solidFill>
          </w14:textFill>
        </w:rPr>
        <w:t>95</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zh-CN"/>
          <w14:textFill>
            <w14:solidFill>
              <w14:schemeClr w14:val="tx1"/>
            </w14:solidFill>
          </w14:textFill>
        </w:rPr>
        <w:t>；</w:t>
      </w:r>
    </w:p>
    <w:p>
      <w:pPr>
        <w:pStyle w:val="2"/>
        <w:ind w:firstLine="480" w:firstLineChars="200"/>
        <w:rPr>
          <w:lang w:val="zh-CN"/>
        </w:rPr>
      </w:pPr>
      <w:r>
        <w:rPr>
          <w:rFonts w:hint="eastAsia" w:ascii="仿宋" w:hAnsi="仿宋" w:eastAsia="仿宋" w:cs="仿宋"/>
          <w:bCs/>
          <w:color w:val="000000" w:themeColor="text1"/>
          <w:sz w:val="24"/>
          <w:szCs w:val="24"/>
          <w14:textFill>
            <w14:solidFill>
              <w14:schemeClr w14:val="tx1"/>
            </w14:solidFill>
          </w14:textFill>
        </w:rPr>
        <w:t>第二次付款：项目验收合格并试运行一年支付至合同总价的1</w:t>
      </w:r>
      <w:r>
        <w:rPr>
          <w:rFonts w:ascii="仿宋" w:hAnsi="仿宋" w:eastAsia="仿宋" w:cs="仿宋"/>
          <w:bCs/>
          <w:color w:val="000000" w:themeColor="text1"/>
          <w:sz w:val="24"/>
          <w:szCs w:val="24"/>
          <w14:textFill>
            <w14:solidFill>
              <w14:schemeClr w14:val="tx1"/>
            </w14:solidFill>
          </w14:textFill>
        </w:rPr>
        <w:t>00%</w:t>
      </w:r>
    </w:p>
    <w:p>
      <w:pPr>
        <w:adjustRightInd w:val="0"/>
        <w:snapToGrid w:val="0"/>
        <w:spacing w:line="312"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注：货款凭正式发票、合同由采购单位结算。</w:t>
      </w:r>
    </w:p>
    <w:p>
      <w:pPr>
        <w:pStyle w:val="2"/>
      </w:pPr>
    </w:p>
    <w:p>
      <w:pPr>
        <w:jc w:val="center"/>
        <w:rPr>
          <w:rFonts w:hint="default" w:cs="宋体" w:eastAsiaTheme="minorEastAsia"/>
          <w:b/>
          <w:color w:val="auto"/>
          <w:sz w:val="24"/>
          <w:szCs w:val="24"/>
          <w:lang w:val="en-US" w:eastAsia="zh-CN"/>
        </w:rPr>
      </w:pPr>
      <w:r>
        <w:rPr>
          <w:rFonts w:hint="eastAsia" w:cs="宋体"/>
          <w:b/>
          <w:color w:val="auto"/>
          <w:sz w:val="21"/>
          <w:szCs w:val="21"/>
          <w:lang w:val="en-US" w:eastAsia="zh-CN"/>
        </w:rPr>
        <w:t xml:space="preserve">                      </w:t>
      </w:r>
      <w:r>
        <w:rPr>
          <w:rFonts w:hint="eastAsia" w:cs="宋体"/>
          <w:b/>
          <w:color w:val="auto"/>
          <w:sz w:val="24"/>
          <w:szCs w:val="24"/>
          <w:lang w:val="en-US" w:eastAsia="zh-CN"/>
        </w:rPr>
        <w:t xml:space="preserve"> </w:t>
      </w:r>
      <w:r>
        <w:rPr>
          <w:rFonts w:hint="eastAsia" w:cs="宋体"/>
          <w:b/>
          <w:color w:val="auto"/>
          <w:sz w:val="24"/>
          <w:szCs w:val="24"/>
        </w:rPr>
        <w:t>采购人：</w:t>
      </w:r>
      <w:r>
        <w:rPr>
          <w:rFonts w:hint="eastAsia" w:cs="宋体"/>
          <w:b/>
          <w:color w:val="auto"/>
          <w:sz w:val="24"/>
          <w:szCs w:val="24"/>
          <w:u w:val="single"/>
        </w:rPr>
        <w:t>遂昌县乡镇水务有限公司</w:t>
      </w:r>
      <w:r>
        <w:rPr>
          <w:rFonts w:hint="eastAsia" w:cs="宋体"/>
          <w:b/>
          <w:color w:val="auto"/>
          <w:sz w:val="24"/>
          <w:szCs w:val="24"/>
          <w:u w:val="single"/>
          <w:lang w:val="en-US" w:eastAsia="zh-CN"/>
        </w:rPr>
        <w:t xml:space="preserve">         </w:t>
      </w:r>
    </w:p>
    <w:p>
      <w:pPr>
        <w:pStyle w:val="2"/>
        <w:rPr>
          <w:rFonts w:hint="eastAsia"/>
          <w:sz w:val="24"/>
          <w:szCs w:val="24"/>
        </w:rPr>
      </w:pPr>
    </w:p>
    <w:p>
      <w:pPr>
        <w:jc w:val="center"/>
        <w:rPr>
          <w:rFonts w:hint="eastAsia" w:cs="宋体"/>
          <w:b/>
          <w:color w:val="auto"/>
          <w:sz w:val="24"/>
          <w:szCs w:val="24"/>
        </w:rPr>
      </w:pPr>
    </w:p>
    <w:p>
      <w:pPr>
        <w:jc w:val="center"/>
        <w:rPr>
          <w:rFonts w:hint="eastAsia" w:cs="宋体"/>
          <w:b/>
          <w:color w:val="auto"/>
          <w:sz w:val="21"/>
          <w:szCs w:val="21"/>
        </w:rPr>
      </w:pPr>
      <w:r>
        <w:rPr>
          <w:rFonts w:hint="eastAsia" w:cs="宋体"/>
          <w:b/>
          <w:color w:val="auto"/>
          <w:sz w:val="24"/>
          <w:szCs w:val="24"/>
          <w:lang w:val="en-US" w:eastAsia="zh-CN"/>
        </w:rPr>
        <w:t xml:space="preserve">                              </w:t>
      </w:r>
      <w:r>
        <w:rPr>
          <w:rFonts w:hint="eastAsia" w:cs="宋体"/>
          <w:b/>
          <w:color w:val="auto"/>
          <w:sz w:val="24"/>
          <w:szCs w:val="24"/>
        </w:rPr>
        <w:t>采购代理机构：</w:t>
      </w:r>
      <w:r>
        <w:rPr>
          <w:rFonts w:hint="eastAsia" w:cs="宋体"/>
          <w:b/>
          <w:color w:val="auto"/>
          <w:sz w:val="24"/>
          <w:szCs w:val="24"/>
          <w:u w:val="single"/>
        </w:rPr>
        <w:t>丽水市合峰项目管理有限公司</w:t>
      </w:r>
    </w:p>
    <w:p>
      <w:pPr>
        <w:pStyle w:val="2"/>
        <w:rPr>
          <w:rFonts w:hint="eastAsia" w:cs="宋体"/>
          <w:b/>
          <w:color w:val="auto"/>
          <w:sz w:val="21"/>
          <w:szCs w:val="21"/>
        </w:rPr>
      </w:pPr>
    </w:p>
    <w:p>
      <w:pPr>
        <w:rPr>
          <w:rFonts w:hint="eastAsia"/>
        </w:rPr>
      </w:pPr>
    </w:p>
    <w:p>
      <w:pPr>
        <w:pStyle w:val="2"/>
        <w:jc w:val="center"/>
        <w:rPr>
          <w:rFonts w:hint="default" w:cs="宋体" w:asciiTheme="minorHAnsi" w:hAnsiTheme="minorHAnsi" w:eastAsiaTheme="minorEastAsia"/>
          <w:b/>
          <w:color w:val="auto"/>
          <w:kern w:val="2"/>
          <w:sz w:val="24"/>
          <w:szCs w:val="24"/>
          <w:u w:val="single"/>
          <w:lang w:val="en-US" w:eastAsia="zh-CN" w:bidi="ar-SA"/>
        </w:rPr>
      </w:pPr>
      <w:r>
        <w:rPr>
          <w:rFonts w:hint="eastAsia" w:cs="宋体"/>
          <w:b/>
          <w:color w:val="auto"/>
          <w:sz w:val="21"/>
          <w:szCs w:val="21"/>
          <w:lang w:val="en-US" w:eastAsia="zh-CN"/>
        </w:rPr>
        <w:t xml:space="preserve">     </w:t>
      </w:r>
      <w:r>
        <w:rPr>
          <w:rFonts w:hint="eastAsia" w:cs="宋体"/>
          <w:b/>
          <w:color w:val="auto"/>
          <w:sz w:val="21"/>
          <w:szCs w:val="21"/>
          <w:u w:val="none"/>
          <w:lang w:val="en-US" w:eastAsia="zh-CN"/>
        </w:rPr>
        <w:t xml:space="preserve">   </w:t>
      </w:r>
      <w:r>
        <w:rPr>
          <w:rFonts w:hint="eastAsia" w:cs="宋体" w:asciiTheme="minorHAnsi" w:hAnsiTheme="minorHAnsi" w:eastAsiaTheme="minorEastAsia"/>
          <w:b/>
          <w:color w:val="auto"/>
          <w:kern w:val="2"/>
          <w:sz w:val="24"/>
          <w:szCs w:val="24"/>
          <w:u w:val="none"/>
          <w:lang w:val="en-US" w:eastAsia="zh-CN" w:bidi="ar-SA"/>
        </w:rPr>
        <w:t xml:space="preserve"> 日期</w:t>
      </w:r>
      <w:r>
        <w:rPr>
          <w:rFonts w:hint="eastAsia" w:cs="宋体" w:asciiTheme="minorHAnsi" w:hAnsiTheme="minorHAnsi" w:eastAsiaTheme="minorEastAsia"/>
          <w:b/>
          <w:color w:val="auto"/>
          <w:kern w:val="2"/>
          <w:sz w:val="24"/>
          <w:szCs w:val="24"/>
          <w:u w:val="single"/>
          <w:lang w:val="en-US" w:eastAsia="zh-CN" w:bidi="ar-SA"/>
        </w:rPr>
        <w:t>：2022年8月8日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26B9E"/>
    <w:multiLevelType w:val="multilevel"/>
    <w:tmpl w:val="03126B9E"/>
    <w:lvl w:ilvl="0" w:tentative="0">
      <w:start w:val="2"/>
      <w:numFmt w:val="decimal"/>
      <w:lvlText w:val="%1"/>
      <w:lvlJc w:val="left"/>
      <w:pPr>
        <w:ind w:left="576" w:hanging="576"/>
      </w:pPr>
      <w:rPr>
        <w:rFonts w:hint="default"/>
      </w:rPr>
    </w:lvl>
    <w:lvl w:ilvl="1" w:tentative="0">
      <w:start w:val="2"/>
      <w:numFmt w:val="decimal"/>
      <w:lvlText w:val="%1.%2"/>
      <w:lvlJc w:val="left"/>
      <w:pPr>
        <w:ind w:left="576" w:hanging="576"/>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2D880412"/>
    <w:multiLevelType w:val="multilevel"/>
    <w:tmpl w:val="2D880412"/>
    <w:lvl w:ilvl="0" w:tentative="0">
      <w:start w:val="4"/>
      <w:numFmt w:val="decimal"/>
      <w:lvlText w:val="%1"/>
      <w:lvlJc w:val="left"/>
      <w:pPr>
        <w:ind w:left="660" w:hanging="660"/>
      </w:pPr>
      <w:rPr>
        <w:rFonts w:hint="default"/>
      </w:rPr>
    </w:lvl>
    <w:lvl w:ilvl="1" w:tentative="0">
      <w:start w:val="2"/>
      <w:numFmt w:val="decimal"/>
      <w:lvlText w:val="%1.%2"/>
      <w:lvlJc w:val="left"/>
      <w:pPr>
        <w:ind w:left="660" w:hanging="660"/>
      </w:pPr>
      <w:rPr>
        <w:rFonts w:hint="default"/>
      </w:rPr>
    </w:lvl>
    <w:lvl w:ilvl="2" w:tentative="0">
      <w:start w:val="3"/>
      <w:numFmt w:val="decimal"/>
      <w:lvlText w:val="%1.%2.%3"/>
      <w:lvlJc w:val="left"/>
      <w:pPr>
        <w:ind w:left="720" w:hanging="720"/>
      </w:pPr>
      <w:rPr>
        <w:rFonts w:hint="default"/>
      </w:rPr>
    </w:lvl>
    <w:lvl w:ilvl="3" w:tentative="0">
      <w:start w:val="3"/>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2DC46BA5"/>
    <w:multiLevelType w:val="multilevel"/>
    <w:tmpl w:val="2DC46BA5"/>
    <w:lvl w:ilvl="0" w:tentative="0">
      <w:start w:val="2"/>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40FE1C46"/>
    <w:multiLevelType w:val="multilevel"/>
    <w:tmpl w:val="40FE1C46"/>
    <w:lvl w:ilvl="0" w:tentative="0">
      <w:start w:val="2"/>
      <w:numFmt w:val="decimal"/>
      <w:lvlText w:val="%1"/>
      <w:lvlJc w:val="left"/>
      <w:pPr>
        <w:ind w:left="576" w:hanging="576"/>
      </w:pPr>
      <w:rPr>
        <w:rFonts w:hint="default"/>
      </w:rPr>
    </w:lvl>
    <w:lvl w:ilvl="1" w:tentative="0">
      <w:start w:val="2"/>
      <w:numFmt w:val="decimal"/>
      <w:lvlText w:val="%1.%2"/>
      <w:lvlJc w:val="left"/>
      <w:pPr>
        <w:ind w:left="576" w:hanging="576"/>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57BB7366"/>
    <w:multiLevelType w:val="multilevel"/>
    <w:tmpl w:val="57BB7366"/>
    <w:lvl w:ilvl="0" w:tentative="0">
      <w:start w:val="2"/>
      <w:numFmt w:val="decimal"/>
      <w:lvlText w:val="%1"/>
      <w:lvlJc w:val="left"/>
      <w:pPr>
        <w:ind w:left="420" w:hanging="420"/>
      </w:pPr>
      <w:rPr>
        <w:rFonts w:hint="default"/>
      </w:rPr>
    </w:lvl>
    <w:lvl w:ilvl="1" w:tentative="0">
      <w:start w:val="1"/>
      <w:numFmt w:val="decimal"/>
      <w:lvlText w:val="%1.%2"/>
      <w:lvlJc w:val="left"/>
      <w:pPr>
        <w:ind w:left="2064" w:hanging="720"/>
      </w:pPr>
      <w:rPr>
        <w:rFonts w:hint="default"/>
      </w:rPr>
    </w:lvl>
    <w:lvl w:ilvl="2" w:tentative="0">
      <w:start w:val="1"/>
      <w:numFmt w:val="decimal"/>
      <w:lvlText w:val="%1.%2.%3"/>
      <w:lvlJc w:val="left"/>
      <w:pPr>
        <w:ind w:left="3408" w:hanging="720"/>
      </w:pPr>
      <w:rPr>
        <w:rFonts w:hint="default"/>
      </w:rPr>
    </w:lvl>
    <w:lvl w:ilvl="3" w:tentative="0">
      <w:start w:val="1"/>
      <w:numFmt w:val="decimal"/>
      <w:lvlText w:val="%1.%2.%3.%4"/>
      <w:lvlJc w:val="left"/>
      <w:pPr>
        <w:ind w:left="5112" w:hanging="1080"/>
      </w:pPr>
      <w:rPr>
        <w:rFonts w:hint="default"/>
      </w:rPr>
    </w:lvl>
    <w:lvl w:ilvl="4" w:tentative="0">
      <w:start w:val="1"/>
      <w:numFmt w:val="decimal"/>
      <w:lvlText w:val="%1.%2.%3.%4.%5"/>
      <w:lvlJc w:val="left"/>
      <w:pPr>
        <w:ind w:left="6816" w:hanging="1440"/>
      </w:pPr>
      <w:rPr>
        <w:rFonts w:hint="default"/>
      </w:rPr>
    </w:lvl>
    <w:lvl w:ilvl="5" w:tentative="0">
      <w:start w:val="1"/>
      <w:numFmt w:val="decimal"/>
      <w:lvlText w:val="%1.%2.%3.%4.%5.%6"/>
      <w:lvlJc w:val="left"/>
      <w:pPr>
        <w:ind w:left="8160" w:hanging="1440"/>
      </w:pPr>
      <w:rPr>
        <w:rFonts w:hint="default"/>
      </w:rPr>
    </w:lvl>
    <w:lvl w:ilvl="6" w:tentative="0">
      <w:start w:val="1"/>
      <w:numFmt w:val="decimal"/>
      <w:lvlText w:val="%1.%2.%3.%4.%5.%6.%7"/>
      <w:lvlJc w:val="left"/>
      <w:pPr>
        <w:ind w:left="9864" w:hanging="1800"/>
      </w:pPr>
      <w:rPr>
        <w:rFonts w:hint="default"/>
      </w:rPr>
    </w:lvl>
    <w:lvl w:ilvl="7" w:tentative="0">
      <w:start w:val="1"/>
      <w:numFmt w:val="decimal"/>
      <w:lvlText w:val="%1.%2.%3.%4.%5.%6.%7.%8"/>
      <w:lvlJc w:val="left"/>
      <w:pPr>
        <w:ind w:left="11568" w:hanging="2160"/>
      </w:pPr>
      <w:rPr>
        <w:rFonts w:hint="default"/>
      </w:rPr>
    </w:lvl>
    <w:lvl w:ilvl="8" w:tentative="0">
      <w:start w:val="1"/>
      <w:numFmt w:val="decimal"/>
      <w:lvlText w:val="%1.%2.%3.%4.%5.%6.%7.%8.%9"/>
      <w:lvlJc w:val="left"/>
      <w:pPr>
        <w:ind w:left="12912" w:hanging="2160"/>
      </w:pPr>
      <w:rPr>
        <w:rFonts w:hint="default"/>
      </w:rPr>
    </w:lvl>
  </w:abstractNum>
  <w:abstractNum w:abstractNumId="5">
    <w:nsid w:val="7D1B3BB2"/>
    <w:multiLevelType w:val="multilevel"/>
    <w:tmpl w:val="7D1B3BB2"/>
    <w:lvl w:ilvl="0" w:tentative="0">
      <w:start w:val="1"/>
      <w:numFmt w:val="chineseCountingThousand"/>
      <w:pStyle w:val="16"/>
      <w:suff w:val="nothing"/>
      <w:lvlText w:val="第%1章   "/>
      <w:lvlJc w:val="left"/>
      <w:pPr>
        <w:ind w:left="5245" w:firstLine="0"/>
      </w:pPr>
      <w:rPr>
        <w:rFonts w:hint="eastAsia"/>
      </w:rPr>
    </w:lvl>
    <w:lvl w:ilvl="1" w:tentative="0">
      <w:start w:val="1"/>
      <w:numFmt w:val="decimal"/>
      <w:pStyle w:val="15"/>
      <w:isLgl/>
      <w:suff w:val="nothing"/>
      <w:lvlText w:val="%1.%2  "/>
      <w:lvlJc w:val="left"/>
      <w:pPr>
        <w:ind w:left="1344" w:firstLine="0"/>
      </w:pPr>
      <w:rPr>
        <w:rFonts w:hint="default" w:ascii="Times New Roman" w:hAnsi="Times New Roman" w:eastAsia="黑体"/>
        <w:sz w:val="32"/>
      </w:rPr>
    </w:lvl>
    <w:lvl w:ilvl="2" w:tentative="0">
      <w:start w:val="1"/>
      <w:numFmt w:val="decimal"/>
      <w:pStyle w:val="17"/>
      <w:isLgl/>
      <w:suff w:val="nothing"/>
      <w:lvlText w:val="%1.%2.%3  "/>
      <w:lvlJc w:val="left"/>
      <w:pPr>
        <w:ind w:left="3544" w:firstLine="0"/>
      </w:pPr>
      <w:rPr>
        <w:rFonts w:hint="default" w:ascii="仿宋" w:hAnsi="仿宋" w:eastAsia="仿宋" w:cs="仿宋"/>
        <w:b/>
        <w:bCs/>
        <w:sz w:val="30"/>
        <w:szCs w:val="30"/>
      </w:rPr>
    </w:lvl>
    <w:lvl w:ilvl="3" w:tentative="0">
      <w:start w:val="1"/>
      <w:numFmt w:val="decimal"/>
      <w:pStyle w:val="18"/>
      <w:isLgl/>
      <w:suff w:val="nothing"/>
      <w:lvlText w:val="%1.%2.%3.%4 "/>
      <w:lvlJc w:val="left"/>
      <w:pPr>
        <w:ind w:left="992" w:firstLine="0"/>
      </w:pPr>
      <w:rPr>
        <w:rFonts w:hint="eastAsia"/>
        <w:b/>
        <w:bCs/>
      </w:rPr>
    </w:lvl>
    <w:lvl w:ilvl="4" w:tentative="0">
      <w:start w:val="1"/>
      <w:numFmt w:val="decimal"/>
      <w:isLgl/>
      <w:suff w:val="nothing"/>
      <w:lvlText w:val="%1.%2.%3.%4.%5 "/>
      <w:lvlJc w:val="left"/>
      <w:pPr>
        <w:ind w:left="2976" w:firstLine="0"/>
      </w:pPr>
      <w:rPr>
        <w:rFonts w:hint="eastAsia"/>
      </w:rPr>
    </w:lvl>
    <w:lvl w:ilvl="5" w:tentative="0">
      <w:start w:val="1"/>
      <w:numFmt w:val="decimal"/>
      <w:lvlText w:val="%1.%2.%3.%4.%5.%6"/>
      <w:lvlJc w:val="left"/>
      <w:pPr>
        <w:ind w:left="6804" w:hanging="1134"/>
      </w:pPr>
      <w:rPr>
        <w:rFonts w:hint="eastAsia"/>
      </w:rPr>
    </w:lvl>
    <w:lvl w:ilvl="6" w:tentative="0">
      <w:start w:val="1"/>
      <w:numFmt w:val="decimal"/>
      <w:lvlText w:val="%1.%2.%3.%4.%5.%6.%7"/>
      <w:lvlJc w:val="left"/>
      <w:pPr>
        <w:ind w:left="7371" w:hanging="1276"/>
      </w:pPr>
      <w:rPr>
        <w:rFonts w:hint="eastAsia"/>
      </w:rPr>
    </w:lvl>
    <w:lvl w:ilvl="7" w:tentative="0">
      <w:start w:val="1"/>
      <w:numFmt w:val="decimal"/>
      <w:lvlText w:val="%1.%2.%3.%4.%5.%6.%7.%8"/>
      <w:lvlJc w:val="left"/>
      <w:pPr>
        <w:ind w:left="7938" w:hanging="1418"/>
      </w:pPr>
      <w:rPr>
        <w:rFonts w:hint="eastAsia"/>
      </w:rPr>
    </w:lvl>
    <w:lvl w:ilvl="8" w:tentative="0">
      <w:start w:val="1"/>
      <w:numFmt w:val="decimal"/>
      <w:lvlText w:val="%1.%2.%3.%4.%5.%6.%7.%8.%9"/>
      <w:lvlJc w:val="left"/>
      <w:pPr>
        <w:ind w:left="8646" w:hanging="1700"/>
      </w:pPr>
      <w:rPr>
        <w:rFonts w:hint="eastAsia"/>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NDdlOTYyNmMzNDg3OGYwZjU5MzZiZThiYzYwMWIifQ=="/>
  </w:docVars>
  <w:rsids>
    <w:rsidRoot w:val="00D22BA2"/>
    <w:rsid w:val="003746A8"/>
    <w:rsid w:val="00460E33"/>
    <w:rsid w:val="00680F45"/>
    <w:rsid w:val="006A4F28"/>
    <w:rsid w:val="00724F5F"/>
    <w:rsid w:val="007365E8"/>
    <w:rsid w:val="00967E83"/>
    <w:rsid w:val="009C6217"/>
    <w:rsid w:val="00C17B55"/>
    <w:rsid w:val="00C63331"/>
    <w:rsid w:val="00D22BA2"/>
    <w:rsid w:val="00DF66BE"/>
    <w:rsid w:val="0BB25BD0"/>
    <w:rsid w:val="48BA72AB"/>
    <w:rsid w:val="67FB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link w:val="13"/>
    <w:qFormat/>
    <w:uiPriority w:val="0"/>
    <w:pPr>
      <w:ind w:firstLine="420"/>
    </w:pPr>
    <w:rPr>
      <w:rFonts w:ascii="Times New Roman" w:hAnsi="Times New Roman" w:eastAsia="宋体" w:cs="Times New Roman"/>
      <w:szCs w:val="20"/>
    </w:rPr>
  </w:style>
  <w:style w:type="paragraph" w:styleId="4">
    <w:name w:val="Body Text Indent"/>
    <w:basedOn w:val="1"/>
    <w:next w:val="1"/>
    <w:link w:val="22"/>
    <w:qFormat/>
    <w:uiPriority w:val="0"/>
    <w:pPr>
      <w:ind w:firstLine="540"/>
    </w:pPr>
    <w:rPr>
      <w:rFonts w:ascii="Calibri" w:hAnsi="Calibri" w:eastAsia="宋体" w:cs="Times New Roman"/>
      <w:sz w:val="28"/>
      <w:szCs w:val="20"/>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0"/>
    <w:pPr>
      <w:widowControl/>
      <w:autoSpaceDE/>
      <w:autoSpaceDN/>
      <w:adjustRightInd/>
      <w:spacing w:after="100" w:line="259" w:lineRule="auto"/>
    </w:pPr>
    <w:rPr>
      <w:rFonts w:ascii="等线" w:hAnsi="等线" w:eastAsia="等线"/>
      <w:sz w:val="22"/>
      <w:szCs w:val="22"/>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11">
    <w:name w:val="页眉 Char"/>
    <w:basedOn w:val="10"/>
    <w:link w:val="6"/>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缩进 Char"/>
    <w:link w:val="2"/>
    <w:qFormat/>
    <w:uiPriority w:val="0"/>
    <w:rPr>
      <w:rFonts w:ascii="Times New Roman" w:hAnsi="Times New Roman" w:eastAsia="宋体" w:cs="Times New Roman"/>
      <w:szCs w:val="20"/>
    </w:rPr>
  </w:style>
  <w:style w:type="paragraph" w:customStyle="1" w:styleId="14">
    <w:name w:val="表格正文"/>
    <w:basedOn w:val="1"/>
    <w:qFormat/>
    <w:uiPriority w:val="10"/>
    <w:pPr>
      <w:jc w:val="center"/>
    </w:pPr>
    <w:rPr>
      <w:rFonts w:ascii="Calibri" w:hAnsi="Calibri" w:eastAsia="宋体" w:cs="宋体"/>
      <w:color w:val="000000"/>
      <w:kern w:val="0"/>
      <w:sz w:val="24"/>
      <w:szCs w:val="21"/>
    </w:rPr>
  </w:style>
  <w:style w:type="paragraph" w:customStyle="1" w:styleId="15">
    <w:name w:val="1.1"/>
    <w:basedOn w:val="1"/>
    <w:qFormat/>
    <w:uiPriority w:val="2"/>
    <w:pPr>
      <w:numPr>
        <w:ilvl w:val="1"/>
        <w:numId w:val="1"/>
      </w:numPr>
      <w:spacing w:before="50" w:beforeLines="50" w:after="50" w:afterLines="50" w:line="540" w:lineRule="exact"/>
      <w:ind w:left="0"/>
      <w:outlineLvl w:val="1"/>
    </w:pPr>
    <w:rPr>
      <w:rFonts w:ascii="Times New Roman" w:hAnsi="Times New Roman" w:eastAsia="黑体" w:cs="Times New Roman"/>
      <w:sz w:val="32"/>
      <w:szCs w:val="32"/>
    </w:rPr>
  </w:style>
  <w:style w:type="paragraph" w:customStyle="1" w:styleId="16">
    <w:name w:val="第一章"/>
    <w:basedOn w:val="3"/>
    <w:qFormat/>
    <w:uiPriority w:val="1"/>
    <w:pPr>
      <w:numPr>
        <w:ilvl w:val="0"/>
        <w:numId w:val="1"/>
      </w:numPr>
      <w:autoSpaceDE w:val="0"/>
      <w:autoSpaceDN w:val="0"/>
      <w:spacing w:before="100" w:beforeLines="100" w:after="100" w:afterLines="100" w:line="540" w:lineRule="exact"/>
      <w:jc w:val="center"/>
      <w:textAlignment w:val="bottom"/>
    </w:pPr>
    <w:rPr>
      <w:rFonts w:ascii="黑体" w:hAnsi="Times New Roman" w:eastAsia="黑体" w:cs="Times New Roman"/>
      <w:sz w:val="36"/>
      <w:szCs w:val="36"/>
    </w:rPr>
  </w:style>
  <w:style w:type="paragraph" w:customStyle="1" w:styleId="17">
    <w:name w:val="1.1.1"/>
    <w:basedOn w:val="1"/>
    <w:qFormat/>
    <w:uiPriority w:val="3"/>
    <w:pPr>
      <w:numPr>
        <w:ilvl w:val="2"/>
        <w:numId w:val="1"/>
      </w:numPr>
      <w:spacing w:before="50" w:beforeLines="50" w:after="50" w:afterLines="50" w:line="540" w:lineRule="exact"/>
      <w:ind w:left="0"/>
      <w:outlineLvl w:val="2"/>
    </w:pPr>
    <w:rPr>
      <w:rFonts w:ascii="Times New Roman" w:hAnsi="Times New Roman" w:eastAsia="黑体" w:cs="Times New Roman"/>
      <w:sz w:val="28"/>
      <w:szCs w:val="28"/>
    </w:rPr>
  </w:style>
  <w:style w:type="paragraph" w:customStyle="1" w:styleId="18">
    <w:name w:val="1.1.1.1"/>
    <w:basedOn w:val="1"/>
    <w:qFormat/>
    <w:uiPriority w:val="4"/>
    <w:pPr>
      <w:numPr>
        <w:ilvl w:val="3"/>
        <w:numId w:val="1"/>
      </w:numPr>
      <w:spacing w:before="50" w:beforeLines="50" w:after="50" w:afterLines="50" w:line="540" w:lineRule="exact"/>
      <w:outlineLvl w:val="3"/>
    </w:pPr>
    <w:rPr>
      <w:rFonts w:ascii="Times New Roman" w:hAnsi="Times New Roman" w:eastAsia="黑体" w:cs="Times New Roman"/>
      <w:sz w:val="24"/>
      <w:szCs w:val="24"/>
    </w:rPr>
  </w:style>
  <w:style w:type="character" w:customStyle="1" w:styleId="19">
    <w:name w:val="标题 1 Char"/>
    <w:basedOn w:val="10"/>
    <w:link w:val="3"/>
    <w:qFormat/>
    <w:uiPriority w:val="9"/>
    <w:rPr>
      <w:b/>
      <w:bCs/>
      <w:kern w:val="44"/>
      <w:sz w:val="44"/>
      <w:szCs w:val="44"/>
    </w:rPr>
  </w:style>
  <w:style w:type="paragraph" w:customStyle="1" w:styleId="20">
    <w:name w:val="正文样式"/>
    <w:basedOn w:val="1"/>
    <w:link w:val="21"/>
    <w:qFormat/>
    <w:uiPriority w:val="6"/>
    <w:pPr>
      <w:widowControl/>
      <w:ind w:firstLine="560" w:firstLineChars="200"/>
    </w:pPr>
    <w:rPr>
      <w:rFonts w:ascii="Times New Roman" w:hAnsi="Times New Roman" w:eastAsia="仿宋"/>
      <w:sz w:val="28"/>
      <w:szCs w:val="20"/>
    </w:rPr>
  </w:style>
  <w:style w:type="character" w:customStyle="1" w:styleId="21">
    <w:name w:val="正文样式 字符"/>
    <w:basedOn w:val="10"/>
    <w:link w:val="20"/>
    <w:qFormat/>
    <w:uiPriority w:val="6"/>
    <w:rPr>
      <w:rFonts w:ascii="Times New Roman" w:hAnsi="Times New Roman" w:eastAsia="仿宋"/>
      <w:sz w:val="28"/>
      <w:szCs w:val="20"/>
    </w:rPr>
  </w:style>
  <w:style w:type="character" w:customStyle="1" w:styleId="22">
    <w:name w:val="正文文本缩进 Char"/>
    <w:basedOn w:val="10"/>
    <w:link w:val="4"/>
    <w:qFormat/>
    <w:uiPriority w:val="0"/>
    <w:rPr>
      <w:rFonts w:ascii="Calibri" w:hAnsi="Calibri" w:eastAsia="宋体" w:cs="Times New Roman"/>
      <w:sz w:val="28"/>
      <w:szCs w:val="20"/>
    </w:rPr>
  </w:style>
  <w:style w:type="paragraph" w:customStyle="1" w:styleId="23">
    <w:name w:val="纯文本2"/>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18462</Words>
  <Characters>20664</Characters>
  <Lines>159</Lines>
  <Paragraphs>44</Paragraphs>
  <TotalTime>5</TotalTime>
  <ScaleCrop>false</ScaleCrop>
  <LinksUpToDate>false</LinksUpToDate>
  <CharactersWithSpaces>20849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2022-08-04T12:32:00Z</dcterms:created>
  <dc:creator>Administrator</dc:creator>
  <cp:lastModifiedBy>2016.02.04</cp:lastModifiedBy>
  <cp:lastPrinted>2022-08-08T02:04:44Z</cp:lastPrinted>
  <dcterms:modified xsi:type="dcterms:W3CDTF">2022-08-08T02:07:35Z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F7D372579D7A42B4AE12ECD80B131FC1</vt:lpwstr>
  </property>
</Properties>
</file>