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6C" w:rsidRDefault="00B25D6C" w:rsidP="00B25D6C">
      <w:pPr>
        <w:widowControl/>
        <w:shd w:val="clear" w:color="auto" w:fill="FFFFFF"/>
        <w:spacing w:line="540" w:lineRule="atLeast"/>
        <w:jc w:val="center"/>
        <w:textAlignment w:val="top"/>
        <w:rPr>
          <w:rFonts w:asciiTheme="minorEastAsia" w:hAnsiTheme="minorEastAsia" w:hint="eastAsia"/>
          <w:b/>
          <w:bCs/>
          <w:color w:val="3D3D3D"/>
          <w:sz w:val="30"/>
          <w:szCs w:val="30"/>
          <w:shd w:val="clear" w:color="auto" w:fill="FFFFFF"/>
        </w:rPr>
      </w:pPr>
      <w:r w:rsidRPr="00B25D6C">
        <w:rPr>
          <w:rFonts w:asciiTheme="minorEastAsia" w:hAnsiTheme="minorEastAsia" w:hint="eastAsia"/>
          <w:b/>
          <w:bCs/>
          <w:color w:val="3D3D3D"/>
          <w:sz w:val="30"/>
          <w:szCs w:val="30"/>
          <w:shd w:val="clear" w:color="auto" w:fill="FFFFFF"/>
        </w:rPr>
        <w:t>丽水市发展和改革委员会关于规范公共资源交易服务收费的通知</w:t>
      </w:r>
    </w:p>
    <w:p w:rsidR="00B25D6C" w:rsidRPr="00B25D6C" w:rsidRDefault="00B25D6C" w:rsidP="00B25D6C">
      <w:pPr>
        <w:widowControl/>
        <w:shd w:val="clear" w:color="auto" w:fill="FFFFFF"/>
        <w:spacing w:line="540" w:lineRule="atLeast"/>
        <w:jc w:val="center"/>
        <w:textAlignment w:val="top"/>
        <w:rPr>
          <w:rFonts w:asciiTheme="minorEastAsia" w:hAnsiTheme="minorEastAsia" w:cs="Times New Roman" w:hint="eastAsia"/>
          <w:color w:val="000000"/>
          <w:kern w:val="0"/>
          <w:sz w:val="24"/>
          <w:szCs w:val="24"/>
        </w:rPr>
      </w:pPr>
      <w:proofErr w:type="gramStart"/>
      <w:r w:rsidRPr="00B25D6C">
        <w:rPr>
          <w:rFonts w:asciiTheme="minorEastAsia" w:hAnsiTheme="minorEastAsia" w:hint="eastAsia"/>
          <w:color w:val="333333"/>
          <w:sz w:val="24"/>
          <w:szCs w:val="24"/>
          <w:shd w:val="clear" w:color="auto" w:fill="FFFFFF"/>
        </w:rPr>
        <w:t>丽发改价</w:t>
      </w:r>
      <w:proofErr w:type="gramEnd"/>
      <w:r w:rsidRPr="00B25D6C">
        <w:rPr>
          <w:rFonts w:asciiTheme="minorEastAsia" w:hAnsiTheme="minorEastAsia" w:hint="eastAsia"/>
          <w:color w:val="333333"/>
          <w:sz w:val="24"/>
          <w:szCs w:val="24"/>
          <w:shd w:val="clear" w:color="auto" w:fill="FFFFFF"/>
        </w:rPr>
        <w:t>管〔2018〕391号</w:t>
      </w:r>
    </w:p>
    <w:p w:rsidR="00B25D6C" w:rsidRPr="00B25D6C" w:rsidRDefault="00B25D6C" w:rsidP="00B25D6C">
      <w:pPr>
        <w:widowControl/>
        <w:shd w:val="clear" w:color="auto" w:fill="FFFFFF"/>
        <w:spacing w:line="540" w:lineRule="atLeast"/>
        <w:jc w:val="left"/>
        <w:textAlignment w:val="top"/>
        <w:rPr>
          <w:rFonts w:asciiTheme="minorEastAsia" w:hAnsiTheme="minorEastAsia" w:cs="宋体"/>
          <w:color w:val="3D3D3D"/>
          <w:kern w:val="0"/>
          <w:szCs w:val="21"/>
        </w:rPr>
      </w:pPr>
      <w:r w:rsidRPr="00B25D6C">
        <w:rPr>
          <w:rFonts w:asciiTheme="minorEastAsia" w:hAnsiTheme="minorEastAsia" w:cs="Times New Roman"/>
          <w:color w:val="000000"/>
          <w:kern w:val="0"/>
          <w:szCs w:val="21"/>
        </w:rPr>
        <w:t>丽水市公共资源交易中心、各县（市、区）发展和改革局：</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为深入扎实推进供给侧结构性改革，有效降低实体经济企业成本，根据《浙江省物价局关于降低和规范公共资源交易服务收费的通知》（</w:t>
      </w:r>
      <w:proofErr w:type="gramStart"/>
      <w:r w:rsidRPr="00B25D6C">
        <w:rPr>
          <w:rFonts w:asciiTheme="minorEastAsia" w:hAnsiTheme="minorEastAsia" w:cs="Times New Roman"/>
          <w:color w:val="000000"/>
          <w:kern w:val="0"/>
          <w:szCs w:val="21"/>
        </w:rPr>
        <w:t>浙价服〔2018〕</w:t>
      </w:r>
      <w:proofErr w:type="gramEnd"/>
      <w:r w:rsidRPr="00B25D6C">
        <w:rPr>
          <w:rFonts w:asciiTheme="minorEastAsia" w:hAnsiTheme="minorEastAsia" w:cs="Times New Roman"/>
          <w:color w:val="000000"/>
          <w:kern w:val="0"/>
          <w:szCs w:val="21"/>
        </w:rPr>
        <w:t>68号）要求，结合丽水实际，现就规范我市公共资源交易服务收费有关事项通知如下：</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一、规范公共资源交易服务收费。取消公共资源交易机构收取的信息服务费、场地租赁费和席位费等费用，公共资源交易机构在开展公共资源交易服务时除收取交易服务费外不得向交易双方收取其他任何费用。</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二、调整市公共资源交易服务收费标准。除国家和省、市政府明确规定减免的以外，在市公共资源交易中心及各县（市、区）分中心进行交易的，工程建设项目根据工程施工、材料设备、工程设计、</w:t>
      </w:r>
      <w:proofErr w:type="gramStart"/>
      <w:r w:rsidRPr="00B25D6C">
        <w:rPr>
          <w:rFonts w:asciiTheme="minorEastAsia" w:hAnsiTheme="minorEastAsia" w:cs="Times New Roman"/>
          <w:color w:val="000000"/>
          <w:kern w:val="0"/>
          <w:szCs w:val="21"/>
        </w:rPr>
        <w:t>工程监理等招投标</w:t>
      </w:r>
      <w:proofErr w:type="gramEnd"/>
      <w:r w:rsidRPr="00B25D6C">
        <w:rPr>
          <w:rFonts w:asciiTheme="minorEastAsia" w:hAnsiTheme="minorEastAsia" w:cs="Times New Roman"/>
          <w:color w:val="000000"/>
          <w:kern w:val="0"/>
          <w:szCs w:val="21"/>
        </w:rPr>
        <w:t>中标价，分档定额计收交易服务费，收费标准详见附件；非工程建设项目交易服务费按项目向代理机构定额收取，具体收费标准为0.05万元/件。</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三、免费提供电子标书。根据《中华人民共和国招标投标法》和《电子招标投标办法》规定，招标文件采用网上电子下载的，不得另行收费。投标人主动向招标代理机构要求购买纸质招标文件的，或涉及到不宜公开的招标文件，可以收取招标文件工本费，但每件不得超过300元；确需投标人购买纸质工程建设项目图纸的，只可收取补偿印刷、邮寄成本费用。</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四、本通知自发布之日施行，《丽水市发改委关于公布降低部分涉企服务收费标准的通知》（</w:t>
      </w:r>
      <w:proofErr w:type="gramStart"/>
      <w:r w:rsidRPr="00B25D6C">
        <w:rPr>
          <w:rFonts w:asciiTheme="minorEastAsia" w:hAnsiTheme="minorEastAsia" w:cs="Times New Roman"/>
          <w:color w:val="000000"/>
          <w:kern w:val="0"/>
          <w:szCs w:val="21"/>
        </w:rPr>
        <w:t>丽发改价</w:t>
      </w:r>
      <w:proofErr w:type="gramEnd"/>
      <w:r w:rsidRPr="00B25D6C">
        <w:rPr>
          <w:rFonts w:asciiTheme="minorEastAsia" w:hAnsiTheme="minorEastAsia" w:cs="Times New Roman"/>
          <w:color w:val="000000"/>
          <w:kern w:val="0"/>
          <w:szCs w:val="21"/>
        </w:rPr>
        <w:t>管〔2008〕496号）相关规定和《丽水市发改委关于丽水市招标投标中心交易席位租用费不分等级收取的批复》（</w:t>
      </w:r>
      <w:proofErr w:type="gramStart"/>
      <w:r w:rsidRPr="00B25D6C">
        <w:rPr>
          <w:rFonts w:asciiTheme="minorEastAsia" w:hAnsiTheme="minorEastAsia" w:cs="Times New Roman"/>
          <w:color w:val="000000"/>
          <w:kern w:val="0"/>
          <w:szCs w:val="21"/>
        </w:rPr>
        <w:t>丽发改价</w:t>
      </w:r>
      <w:proofErr w:type="gramEnd"/>
      <w:r w:rsidRPr="00B25D6C">
        <w:rPr>
          <w:rFonts w:asciiTheme="minorEastAsia" w:hAnsiTheme="minorEastAsia" w:cs="Times New Roman"/>
          <w:color w:val="000000"/>
          <w:kern w:val="0"/>
          <w:szCs w:val="21"/>
        </w:rPr>
        <w:t>管〔2011〕203号）同时废止。</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宋体" w:hint="eastAsia"/>
          <w:color w:val="000000"/>
          <w:kern w:val="0"/>
          <w:szCs w:val="21"/>
        </w:rPr>
        <w:t> </w:t>
      </w:r>
    </w:p>
    <w:p w:rsidR="00B25D6C" w:rsidRPr="00B25D6C" w:rsidRDefault="00B25D6C" w:rsidP="00B25D6C">
      <w:pPr>
        <w:widowControl/>
        <w:shd w:val="clear" w:color="auto" w:fill="FFFFFF"/>
        <w:spacing w:line="540" w:lineRule="atLeast"/>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附件：丽水市公共资源交易中心工程建设项目交易服务收费标准</w:t>
      </w:r>
    </w:p>
    <w:p w:rsidR="00B25D6C" w:rsidRPr="00B25D6C" w:rsidRDefault="00B25D6C" w:rsidP="00B25D6C">
      <w:pPr>
        <w:widowControl/>
        <w:shd w:val="clear" w:color="auto" w:fill="FFFFFF"/>
        <w:spacing w:line="540" w:lineRule="atLeast"/>
        <w:ind w:firstLine="645"/>
        <w:jc w:val="righ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 xml:space="preserve">　　</w:t>
      </w:r>
      <w:r w:rsidRPr="00B25D6C">
        <w:rPr>
          <w:rFonts w:asciiTheme="minorEastAsia" w:hAnsiTheme="minorEastAsia" w:cs="宋体" w:hint="eastAsia"/>
          <w:color w:val="000000"/>
          <w:kern w:val="0"/>
          <w:szCs w:val="21"/>
        </w:rPr>
        <w:t>   </w:t>
      </w:r>
      <w:r>
        <w:rPr>
          <w:rFonts w:asciiTheme="minorEastAsia" w:hAnsiTheme="minorEastAsia" w:cs="宋体" w:hint="eastAsia"/>
          <w:color w:val="000000"/>
          <w:kern w:val="0"/>
          <w:szCs w:val="21"/>
        </w:rPr>
        <w:t>                          </w:t>
      </w:r>
      <w:r w:rsidRPr="00B25D6C">
        <w:rPr>
          <w:rFonts w:asciiTheme="minorEastAsia" w:hAnsiTheme="minorEastAsia" w:cs="Times New Roman" w:hint="eastAsia"/>
          <w:color w:val="000000"/>
          <w:kern w:val="0"/>
          <w:szCs w:val="21"/>
        </w:rPr>
        <w:t>丽水市发展和改革委员会</w:t>
      </w:r>
    </w:p>
    <w:p w:rsidR="00B25D6C" w:rsidRPr="00B25D6C" w:rsidRDefault="00B25D6C" w:rsidP="00B25D6C">
      <w:pPr>
        <w:widowControl/>
        <w:shd w:val="clear" w:color="auto" w:fill="FFFFFF"/>
        <w:spacing w:line="540" w:lineRule="atLeast"/>
        <w:ind w:firstLine="645"/>
        <w:jc w:val="right"/>
        <w:textAlignment w:val="top"/>
        <w:rPr>
          <w:rFonts w:asciiTheme="minorEastAsia" w:hAnsiTheme="minorEastAsia" w:cs="宋体" w:hint="eastAsia"/>
          <w:color w:val="3D3D3D"/>
          <w:kern w:val="0"/>
          <w:szCs w:val="21"/>
        </w:rPr>
      </w:pPr>
      <w:r w:rsidRPr="00B25D6C">
        <w:rPr>
          <w:rFonts w:asciiTheme="minorEastAsia" w:hAnsiTheme="minorEastAsia" w:cs="Times New Roman"/>
          <w:color w:val="000000"/>
          <w:kern w:val="0"/>
          <w:szCs w:val="21"/>
        </w:rPr>
        <w:t xml:space="preserve">　　　　　</w:t>
      </w:r>
      <w:r w:rsidRPr="00B25D6C">
        <w:rPr>
          <w:rFonts w:asciiTheme="minorEastAsia" w:hAnsiTheme="minorEastAsia" w:cs="宋体" w:hint="eastAsia"/>
          <w:color w:val="000000"/>
          <w:kern w:val="0"/>
          <w:szCs w:val="21"/>
        </w:rPr>
        <w:t>     </w:t>
      </w:r>
      <w:r w:rsidRPr="00B25D6C">
        <w:rPr>
          <w:rFonts w:asciiTheme="minorEastAsia" w:hAnsiTheme="minorEastAsia" w:cs="Times New Roman" w:hint="eastAsia"/>
          <w:color w:val="000000"/>
          <w:kern w:val="0"/>
          <w:szCs w:val="21"/>
        </w:rPr>
        <w:t> 2018年9月5日</w:t>
      </w:r>
    </w:p>
    <w:p w:rsidR="00B25D6C" w:rsidRPr="00B25D6C" w:rsidRDefault="00B25D6C" w:rsidP="00B25D6C">
      <w:pPr>
        <w:widowControl/>
        <w:shd w:val="clear" w:color="auto" w:fill="FFFFFF"/>
        <w:spacing w:line="540" w:lineRule="atLeast"/>
        <w:ind w:firstLine="645"/>
        <w:jc w:val="right"/>
        <w:textAlignment w:val="top"/>
        <w:rPr>
          <w:rFonts w:asciiTheme="minorEastAsia" w:hAnsiTheme="minorEastAsia" w:cs="宋体" w:hint="eastAsia"/>
          <w:color w:val="3D3D3D"/>
          <w:kern w:val="0"/>
          <w:szCs w:val="21"/>
        </w:rPr>
      </w:pPr>
      <w:r w:rsidRPr="00B25D6C">
        <w:rPr>
          <w:rFonts w:asciiTheme="minorEastAsia" w:hAnsiTheme="minorEastAsia" w:cs="宋体" w:hint="eastAsia"/>
          <w:color w:val="3D3D3D"/>
          <w:kern w:val="0"/>
          <w:szCs w:val="21"/>
        </w:rPr>
        <w:t> </w:t>
      </w:r>
    </w:p>
    <w:p w:rsidR="00B25D6C" w:rsidRPr="00B25D6C" w:rsidRDefault="00B25D6C" w:rsidP="00B25D6C">
      <w:pPr>
        <w:widowControl/>
        <w:shd w:val="clear" w:color="auto" w:fill="FFFFFF"/>
        <w:spacing w:line="540" w:lineRule="atLeast"/>
        <w:ind w:firstLine="645"/>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lastRenderedPageBreak/>
        <w:t>附件</w:t>
      </w:r>
    </w:p>
    <w:p w:rsidR="00B25D6C" w:rsidRPr="00B25D6C" w:rsidRDefault="00B25D6C" w:rsidP="00B25D6C">
      <w:pPr>
        <w:widowControl/>
        <w:shd w:val="clear" w:color="auto" w:fill="FFFFFF"/>
        <w:spacing w:beforeAutospacing="1" w:afterAutospacing="1"/>
        <w:jc w:val="center"/>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t>丽水市公共资源交易中心工程建设项目</w:t>
      </w:r>
    </w:p>
    <w:p w:rsidR="00B25D6C" w:rsidRPr="00B25D6C" w:rsidRDefault="00B25D6C" w:rsidP="00B25D6C">
      <w:pPr>
        <w:widowControl/>
        <w:shd w:val="clear" w:color="auto" w:fill="FFFFFF"/>
        <w:spacing w:beforeAutospacing="1" w:afterAutospacing="1"/>
        <w:jc w:val="center"/>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t>交易服务收费标准</w:t>
      </w:r>
    </w:p>
    <w:p w:rsidR="00B25D6C" w:rsidRPr="00B25D6C" w:rsidRDefault="00B25D6C" w:rsidP="00B25D6C">
      <w:pPr>
        <w:widowControl/>
        <w:shd w:val="clear" w:color="auto" w:fill="FFFFFF"/>
        <w:spacing w:beforeAutospacing="1" w:afterAutospacing="1" w:line="270" w:lineRule="atLeast"/>
        <w:ind w:firstLine="645"/>
        <w:jc w:val="center"/>
        <w:textAlignment w:val="top"/>
        <w:rPr>
          <w:rFonts w:asciiTheme="minorEastAsia" w:hAnsiTheme="minorEastAsia" w:cs="宋体" w:hint="eastAsia"/>
          <w:color w:val="3D3D3D"/>
          <w:kern w:val="0"/>
          <w:szCs w:val="21"/>
        </w:rPr>
      </w:pPr>
      <w:r w:rsidRPr="00B25D6C">
        <w:rPr>
          <w:rFonts w:asciiTheme="minorEastAsia" w:hAnsiTheme="minorEastAsia" w:cs="宋体" w:hint="eastAsia"/>
          <w:color w:val="000000"/>
          <w:kern w:val="0"/>
          <w:szCs w:val="21"/>
        </w:rPr>
        <w:t> </w:t>
      </w:r>
    </w:p>
    <w:tbl>
      <w:tblPr>
        <w:tblW w:w="8955" w:type="dxa"/>
        <w:shd w:val="clear" w:color="auto" w:fill="FFFFFF"/>
        <w:tblCellMar>
          <w:left w:w="0" w:type="dxa"/>
          <w:right w:w="0" w:type="dxa"/>
        </w:tblCellMar>
        <w:tblLook w:val="04A0" w:firstRow="1" w:lastRow="0" w:firstColumn="1" w:lastColumn="0" w:noHBand="0" w:noVBand="1"/>
      </w:tblPr>
      <w:tblGrid>
        <w:gridCol w:w="4650"/>
        <w:gridCol w:w="4305"/>
      </w:tblGrid>
      <w:tr w:rsidR="00B25D6C" w:rsidRPr="00B25D6C" w:rsidTr="00B25D6C">
        <w:trPr>
          <w:trHeight w:val="420"/>
        </w:trPr>
        <w:tc>
          <w:tcPr>
            <w:tcW w:w="46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b/>
                <w:bCs/>
                <w:color w:val="000000"/>
                <w:kern w:val="0"/>
                <w:szCs w:val="21"/>
              </w:rPr>
              <w:t>中标价</w:t>
            </w:r>
          </w:p>
        </w:tc>
        <w:tc>
          <w:tcPr>
            <w:tcW w:w="43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b/>
                <w:bCs/>
                <w:color w:val="000000"/>
                <w:kern w:val="0"/>
                <w:szCs w:val="21"/>
              </w:rPr>
              <w:t>收费标准（万元）</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100万元（含）以下</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0.10</w:t>
            </w:r>
          </w:p>
        </w:tc>
      </w:tr>
      <w:tr w:rsidR="00B25D6C" w:rsidRPr="00B25D6C" w:rsidTr="00B25D6C">
        <w:trPr>
          <w:trHeight w:val="405"/>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100-200万元（含）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0.15</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200-500万元（含）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0.40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500-1000万元（含）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1.50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1000-2000万元（含）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2.50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2000-5000万元（含）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3.50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5000万元-1亿元（含）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4.50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1-5亿元（含）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6.00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5-10亿元（含）</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7.50</w:t>
            </w:r>
          </w:p>
        </w:tc>
      </w:tr>
      <w:tr w:rsidR="00B25D6C" w:rsidRPr="00B25D6C" w:rsidTr="00B25D6C">
        <w:trPr>
          <w:trHeight w:val="420"/>
        </w:trPr>
        <w:tc>
          <w:tcPr>
            <w:tcW w:w="46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10亿元以上</w:t>
            </w:r>
          </w:p>
        </w:tc>
        <w:tc>
          <w:tcPr>
            <w:tcW w:w="4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25D6C" w:rsidRPr="00B25D6C" w:rsidRDefault="00B25D6C" w:rsidP="00B25D6C">
            <w:pPr>
              <w:widowControl/>
              <w:spacing w:beforeAutospacing="1" w:afterAutospacing="1" w:line="345" w:lineRule="atLeast"/>
              <w:jc w:val="center"/>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9.00</w:t>
            </w:r>
          </w:p>
        </w:tc>
      </w:tr>
      <w:tr w:rsidR="00B25D6C" w:rsidRPr="00B25D6C" w:rsidTr="00B25D6C">
        <w:trPr>
          <w:trHeight w:val="2850"/>
        </w:trPr>
        <w:tc>
          <w:tcPr>
            <w:tcW w:w="895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25D6C" w:rsidRPr="00B25D6C" w:rsidRDefault="00B25D6C" w:rsidP="00B25D6C">
            <w:pPr>
              <w:widowControl/>
              <w:spacing w:beforeAutospacing="1" w:afterAutospacing="1" w:line="360" w:lineRule="auto"/>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t>注：1.工程总承包项目收费标准可适当上浮，上浮幅度不超过25%，其他项目收费标准不得上浮，下浮不限，具体收费标准由市公共资源交易中心在规定范围内确定；</w:t>
            </w:r>
          </w:p>
          <w:p w:rsidR="00B25D6C" w:rsidRPr="00B25D6C" w:rsidRDefault="00B25D6C" w:rsidP="00B25D6C">
            <w:pPr>
              <w:widowControl/>
              <w:spacing w:beforeAutospacing="1" w:afterAutospacing="1" w:line="360" w:lineRule="auto"/>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t>2.交易服务费由招标单位和中标单位各承担50%；</w:t>
            </w:r>
          </w:p>
          <w:p w:rsidR="00B25D6C" w:rsidRPr="00B25D6C" w:rsidRDefault="00B25D6C" w:rsidP="00B25D6C">
            <w:pPr>
              <w:widowControl/>
              <w:spacing w:beforeAutospacing="1" w:afterAutospacing="1" w:line="360" w:lineRule="auto"/>
              <w:jc w:val="left"/>
              <w:textAlignment w:val="top"/>
              <w:rPr>
                <w:rFonts w:asciiTheme="minorEastAsia" w:hAnsiTheme="minorEastAsia" w:cs="宋体" w:hint="eastAsia"/>
                <w:color w:val="3D3D3D"/>
                <w:kern w:val="0"/>
                <w:szCs w:val="21"/>
              </w:rPr>
            </w:pPr>
            <w:r w:rsidRPr="00B25D6C">
              <w:rPr>
                <w:rFonts w:asciiTheme="minorEastAsia" w:hAnsiTheme="minorEastAsia" w:cs="Times New Roman" w:hint="eastAsia"/>
                <w:color w:val="000000"/>
                <w:kern w:val="0"/>
                <w:szCs w:val="21"/>
              </w:rPr>
              <w:t>3.按标段（包）、标的进行收费，一次交易收取一次费用；</w:t>
            </w:r>
            <w:bookmarkStart w:id="0" w:name="_GoBack"/>
            <w:bookmarkEnd w:id="0"/>
          </w:p>
          <w:p w:rsidR="00B25D6C" w:rsidRPr="00B25D6C" w:rsidRDefault="00B25D6C" w:rsidP="00B25D6C">
            <w:pPr>
              <w:widowControl/>
              <w:spacing w:beforeAutospacing="1" w:afterAutospacing="1" w:line="360" w:lineRule="auto"/>
              <w:jc w:val="left"/>
              <w:textAlignment w:val="top"/>
              <w:rPr>
                <w:rFonts w:asciiTheme="minorEastAsia" w:hAnsiTheme="minorEastAsia" w:cs="宋体"/>
                <w:color w:val="3D3D3D"/>
                <w:kern w:val="0"/>
                <w:szCs w:val="21"/>
              </w:rPr>
            </w:pPr>
            <w:r w:rsidRPr="00B25D6C">
              <w:rPr>
                <w:rFonts w:asciiTheme="minorEastAsia" w:hAnsiTheme="minorEastAsia" w:cs="Times New Roman" w:hint="eastAsia"/>
                <w:color w:val="000000"/>
                <w:kern w:val="0"/>
                <w:szCs w:val="21"/>
              </w:rPr>
              <w:t>4.无具体交易（中标）金额的项目，按照实际工作量协商收费。</w:t>
            </w:r>
          </w:p>
        </w:tc>
      </w:tr>
    </w:tbl>
    <w:p w:rsidR="001240E9" w:rsidRPr="00B25D6C" w:rsidRDefault="001240E9">
      <w:pPr>
        <w:rPr>
          <w:rFonts w:asciiTheme="minorEastAsia" w:hAnsiTheme="minorEastAsia"/>
          <w:szCs w:val="21"/>
        </w:rPr>
      </w:pPr>
    </w:p>
    <w:sectPr w:rsidR="001240E9" w:rsidRPr="00B25D6C" w:rsidSect="0076070E">
      <w:pgSz w:w="11907" w:h="16839" w:code="9"/>
      <w:pgMar w:top="1418" w:right="737" w:bottom="1418" w:left="1531" w:header="851" w:footer="1049"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6C"/>
    <w:rsid w:val="001240E9"/>
    <w:rsid w:val="0076070E"/>
    <w:rsid w:val="00B2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D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5D6C"/>
  </w:style>
  <w:style w:type="character" w:styleId="a4">
    <w:name w:val="Strong"/>
    <w:basedOn w:val="a0"/>
    <w:uiPriority w:val="22"/>
    <w:qFormat/>
    <w:rsid w:val="00B25D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D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5D6C"/>
  </w:style>
  <w:style w:type="character" w:styleId="a4">
    <w:name w:val="Strong"/>
    <w:basedOn w:val="a0"/>
    <w:uiPriority w:val="22"/>
    <w:qFormat/>
    <w:rsid w:val="00B25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2019-09-05T01:49:00Z</dcterms:created>
  <dcterms:modified xsi:type="dcterms:W3CDTF">2019-09-05T01:51:00Z</dcterms:modified>
</cp:coreProperties>
</file>