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2A" w:rsidRDefault="0012332A" w:rsidP="0078439B">
      <w:pPr>
        <w:pStyle w:val="a3"/>
        <w:jc w:val="center"/>
      </w:pPr>
      <w:bookmarkStart w:id="0" w:name="_GoBack"/>
      <w:bookmarkEnd w:id="0"/>
      <w:r>
        <w:rPr>
          <w:rFonts w:ascii="ABCDEE+方正小标宋_GBK" w:eastAsia="ABCDEE+方正小标宋_GBK"/>
          <w:color w:val="000000"/>
          <w:sz w:val="44"/>
          <w:szCs w:val="44"/>
        </w:rPr>
        <w:t>丽水市</w:t>
      </w:r>
      <w:r>
        <w:rPr>
          <w:rFonts w:ascii="ABCDEE+方正小标宋_GBK" w:eastAsia="ABCDEE+方正小标宋_GBK"/>
          <w:color w:val="000000"/>
          <w:sz w:val="44"/>
          <w:szCs w:val="44"/>
        </w:rPr>
        <w:t>“</w:t>
      </w:r>
      <w:r>
        <w:rPr>
          <w:rFonts w:ascii="ABCDEE+方正小标宋_GBK" w:eastAsia="ABCDEE+方正小标宋_GBK"/>
          <w:color w:val="000000"/>
          <w:sz w:val="44"/>
          <w:szCs w:val="44"/>
        </w:rPr>
        <w:t>政</w:t>
      </w:r>
      <w:proofErr w:type="gramStart"/>
      <w:r>
        <w:rPr>
          <w:rFonts w:ascii="ABCDEE+方正小标宋_GBK" w:eastAsia="ABCDEE+方正小标宋_GBK"/>
          <w:color w:val="000000"/>
          <w:sz w:val="44"/>
          <w:szCs w:val="44"/>
        </w:rPr>
        <w:t>采云</w:t>
      </w:r>
      <w:proofErr w:type="gramEnd"/>
      <w:r>
        <w:rPr>
          <w:rFonts w:ascii="ABCDEE+方正小标宋_GBK" w:eastAsia="ABCDEE+方正小标宋_GBK"/>
          <w:color w:val="000000"/>
          <w:sz w:val="44"/>
          <w:szCs w:val="44"/>
        </w:rPr>
        <w:t>”</w:t>
      </w:r>
      <w:r>
        <w:rPr>
          <w:rFonts w:ascii="ABCDEE+方正小标宋_GBK" w:eastAsia="ABCDEE+方正小标宋_GBK"/>
          <w:color w:val="000000"/>
          <w:sz w:val="44"/>
          <w:szCs w:val="44"/>
        </w:rPr>
        <w:t>平台网上超市违规情形及违规处理标准</w:t>
      </w:r>
    </w:p>
    <w:tbl>
      <w:tblPr>
        <w:tblStyle w:val="a4"/>
        <w:tblW w:w="14599" w:type="dxa"/>
        <w:tblLook w:val="04A0" w:firstRow="1" w:lastRow="0" w:firstColumn="1" w:lastColumn="0" w:noHBand="0" w:noVBand="1"/>
      </w:tblPr>
      <w:tblGrid>
        <w:gridCol w:w="1101"/>
        <w:gridCol w:w="8221"/>
        <w:gridCol w:w="5277"/>
      </w:tblGrid>
      <w:tr w:rsidR="0012332A" w:rsidTr="0078439B">
        <w:tc>
          <w:tcPr>
            <w:tcW w:w="1101" w:type="dxa"/>
            <w:vAlign w:val="center"/>
          </w:tcPr>
          <w:p w:rsidR="0012332A" w:rsidRPr="00D964DE" w:rsidRDefault="0012332A" w:rsidP="0078439B">
            <w:pPr>
              <w:jc w:val="center"/>
              <w:rPr>
                <w:rFonts w:asciiTheme="minorEastAsia" w:hAnsiTheme="minorEastAsia"/>
                <w:sz w:val="32"/>
                <w:szCs w:val="32"/>
              </w:rPr>
            </w:pPr>
            <w:r w:rsidRPr="00D964DE">
              <w:rPr>
                <w:rFonts w:asciiTheme="minorEastAsia" w:hAnsiTheme="minorEastAsia" w:hint="eastAsia"/>
                <w:sz w:val="32"/>
                <w:szCs w:val="32"/>
              </w:rPr>
              <w:t>序号</w:t>
            </w:r>
          </w:p>
        </w:tc>
        <w:tc>
          <w:tcPr>
            <w:tcW w:w="8221" w:type="dxa"/>
          </w:tcPr>
          <w:p w:rsidR="0012332A" w:rsidRPr="00D964DE" w:rsidRDefault="0012332A" w:rsidP="0012332A">
            <w:pPr>
              <w:pStyle w:val="a3"/>
              <w:jc w:val="center"/>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违规情形</w:t>
            </w:r>
          </w:p>
        </w:tc>
        <w:tc>
          <w:tcPr>
            <w:tcW w:w="5277" w:type="dxa"/>
          </w:tcPr>
          <w:p w:rsidR="0012332A" w:rsidRPr="00D964DE" w:rsidRDefault="0012332A" w:rsidP="0012332A">
            <w:pPr>
              <w:pStyle w:val="a3"/>
              <w:jc w:val="center"/>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违规处理标准</w:t>
            </w:r>
          </w:p>
        </w:tc>
      </w:tr>
      <w:tr w:rsidR="0012332A" w:rsidTr="0078439B">
        <w:tc>
          <w:tcPr>
            <w:tcW w:w="1101" w:type="dxa"/>
            <w:vAlign w:val="center"/>
          </w:tcPr>
          <w:p w:rsidR="0012332A" w:rsidRPr="00D964DE" w:rsidRDefault="0012332A" w:rsidP="0078439B">
            <w:pPr>
              <w:jc w:val="center"/>
              <w:rPr>
                <w:rFonts w:asciiTheme="minorEastAsia" w:hAnsiTheme="minorEastAsia"/>
                <w:sz w:val="32"/>
                <w:szCs w:val="32"/>
              </w:rPr>
            </w:pPr>
            <w:r w:rsidRPr="00D964DE">
              <w:rPr>
                <w:rFonts w:asciiTheme="minorEastAsia" w:hAnsiTheme="minorEastAsia" w:hint="eastAsia"/>
                <w:sz w:val="32"/>
                <w:szCs w:val="32"/>
              </w:rPr>
              <w:t>1</w:t>
            </w:r>
          </w:p>
        </w:tc>
        <w:tc>
          <w:tcPr>
            <w:tcW w:w="8221" w:type="dxa"/>
          </w:tcPr>
          <w:p w:rsidR="0012332A" w:rsidRPr="00D964DE" w:rsidRDefault="0012332A" w:rsidP="0078439B">
            <w:pPr>
              <w:pStyle w:val="a3"/>
              <w:spacing w:before="0" w:beforeAutospacing="0" w:after="0" w:afterAutospacing="0"/>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网上超市商品销售价格高于同期大型电商自营商品平均销售价格的。</w:t>
            </w:r>
          </w:p>
        </w:tc>
        <w:tc>
          <w:tcPr>
            <w:tcW w:w="5277" w:type="dxa"/>
            <w:vAlign w:val="center"/>
          </w:tcPr>
          <w:p w:rsidR="0012332A" w:rsidRPr="00D964DE" w:rsidRDefault="0012332A" w:rsidP="0078439B">
            <w:pPr>
              <w:pStyle w:val="a3"/>
              <w:spacing w:before="0" w:beforeAutospacing="0" w:after="0" w:afterAutospacing="0"/>
              <w:jc w:val="both"/>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商品冻结。</w:t>
            </w:r>
          </w:p>
        </w:tc>
      </w:tr>
      <w:tr w:rsidR="0012332A" w:rsidTr="0078439B">
        <w:tc>
          <w:tcPr>
            <w:tcW w:w="1101" w:type="dxa"/>
            <w:vAlign w:val="center"/>
          </w:tcPr>
          <w:p w:rsidR="0012332A" w:rsidRPr="00D964DE" w:rsidRDefault="0012332A" w:rsidP="0078439B">
            <w:pPr>
              <w:jc w:val="center"/>
              <w:rPr>
                <w:rFonts w:asciiTheme="minorEastAsia" w:hAnsiTheme="minorEastAsia"/>
                <w:sz w:val="32"/>
                <w:szCs w:val="32"/>
              </w:rPr>
            </w:pPr>
            <w:r w:rsidRPr="00D964DE">
              <w:rPr>
                <w:rFonts w:asciiTheme="minorEastAsia" w:hAnsiTheme="minorEastAsia" w:hint="eastAsia"/>
                <w:sz w:val="32"/>
                <w:szCs w:val="32"/>
              </w:rPr>
              <w:t>2</w:t>
            </w:r>
          </w:p>
        </w:tc>
        <w:tc>
          <w:tcPr>
            <w:tcW w:w="8221" w:type="dxa"/>
          </w:tcPr>
          <w:p w:rsidR="0078439B" w:rsidRPr="00D964DE" w:rsidRDefault="0012332A" w:rsidP="0078439B">
            <w:pPr>
              <w:pStyle w:val="a3"/>
              <w:spacing w:before="0" w:beforeAutospacing="0" w:after="0" w:afterAutospacing="0"/>
              <w:rPr>
                <w:rFonts w:asciiTheme="minorEastAsia" w:eastAsiaTheme="minorEastAsia" w:hAnsiTheme="minorEastAsia" w:hint="eastAsia"/>
                <w:color w:val="000000"/>
                <w:sz w:val="32"/>
                <w:szCs w:val="32"/>
              </w:rPr>
            </w:pPr>
            <w:r w:rsidRPr="00D964DE">
              <w:rPr>
                <w:rFonts w:asciiTheme="minorEastAsia" w:eastAsiaTheme="minorEastAsia" w:hAnsiTheme="minorEastAsia"/>
                <w:color w:val="000000"/>
                <w:sz w:val="32"/>
                <w:szCs w:val="32"/>
              </w:rPr>
              <w:t>（1）网上超市商品销售价格高于同期大型电商自营商品平均销售价格高于10%（含），低于20%；</w:t>
            </w:r>
          </w:p>
          <w:p w:rsidR="0012332A" w:rsidRPr="00D964DE" w:rsidRDefault="0012332A" w:rsidP="0078439B">
            <w:pPr>
              <w:pStyle w:val="a3"/>
              <w:spacing w:before="0" w:beforeAutospacing="0" w:after="0" w:afterAutospacing="0"/>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 xml:space="preserve">（2）《浙江省政府采购电子卖场采购管理暂行办法》第三十二条第（一）款规定的其他情形。 </w:t>
            </w:r>
          </w:p>
        </w:tc>
        <w:tc>
          <w:tcPr>
            <w:tcW w:w="5277" w:type="dxa"/>
            <w:vAlign w:val="center"/>
          </w:tcPr>
          <w:p w:rsidR="0012332A" w:rsidRPr="00D964DE" w:rsidRDefault="0012332A" w:rsidP="0078439B">
            <w:pPr>
              <w:pStyle w:val="a3"/>
              <w:spacing w:before="0" w:beforeAutospacing="0" w:after="0" w:afterAutospacing="0"/>
              <w:jc w:val="both"/>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每次扣减5分诚信分，累计该项违规情形发生4次（含）以上的，每次扣减6-8分诚信分，黄色预警一次。</w:t>
            </w:r>
          </w:p>
        </w:tc>
      </w:tr>
      <w:tr w:rsidR="0012332A" w:rsidTr="0078439B">
        <w:trPr>
          <w:trHeight w:val="560"/>
        </w:trPr>
        <w:tc>
          <w:tcPr>
            <w:tcW w:w="1101" w:type="dxa"/>
            <w:vAlign w:val="center"/>
          </w:tcPr>
          <w:p w:rsidR="0012332A" w:rsidRPr="00D964DE" w:rsidRDefault="0012332A" w:rsidP="0078439B">
            <w:pPr>
              <w:jc w:val="center"/>
              <w:rPr>
                <w:rFonts w:asciiTheme="minorEastAsia" w:hAnsiTheme="minorEastAsia"/>
                <w:sz w:val="32"/>
                <w:szCs w:val="32"/>
              </w:rPr>
            </w:pPr>
            <w:r w:rsidRPr="00D964DE">
              <w:rPr>
                <w:rFonts w:asciiTheme="minorEastAsia" w:hAnsiTheme="minorEastAsia" w:hint="eastAsia"/>
                <w:sz w:val="32"/>
                <w:szCs w:val="32"/>
              </w:rPr>
              <w:t>3</w:t>
            </w:r>
          </w:p>
        </w:tc>
        <w:tc>
          <w:tcPr>
            <w:tcW w:w="8221" w:type="dxa"/>
          </w:tcPr>
          <w:p w:rsidR="0078439B" w:rsidRPr="00D964DE" w:rsidRDefault="0078439B" w:rsidP="0078439B">
            <w:pPr>
              <w:pStyle w:val="a3"/>
              <w:spacing w:before="0" w:beforeAutospacing="0" w:after="0" w:afterAutospacing="0"/>
              <w:rPr>
                <w:rFonts w:asciiTheme="minorEastAsia" w:eastAsiaTheme="minorEastAsia" w:hAnsiTheme="minorEastAsia" w:hint="eastAsia"/>
                <w:color w:val="000000"/>
                <w:sz w:val="32"/>
                <w:szCs w:val="32"/>
              </w:rPr>
            </w:pPr>
            <w:r w:rsidRPr="00D964DE">
              <w:rPr>
                <w:rFonts w:asciiTheme="minorEastAsia" w:eastAsiaTheme="minorEastAsia" w:hAnsiTheme="minorEastAsia"/>
                <w:color w:val="000000"/>
                <w:sz w:val="32"/>
                <w:szCs w:val="32"/>
              </w:rPr>
              <w:t xml:space="preserve">（1）网上超市商品销售价格高于同期大型电商自营商品平均销售价格高于20%（含），低于30%； </w:t>
            </w:r>
            <w:r w:rsidRPr="00D964DE">
              <w:rPr>
                <w:rFonts w:asciiTheme="minorEastAsia" w:eastAsiaTheme="minorEastAsia" w:hAnsiTheme="minorEastAsia"/>
                <w:color w:val="000000"/>
                <w:sz w:val="32"/>
                <w:szCs w:val="32"/>
              </w:rPr>
              <w:br/>
              <w:t xml:space="preserve">（2）同期因价格问题被黄色预警3次以上； </w:t>
            </w:r>
          </w:p>
          <w:p w:rsidR="0012332A" w:rsidRPr="00D964DE" w:rsidRDefault="0078439B" w:rsidP="0078439B">
            <w:pPr>
              <w:pStyle w:val="a3"/>
              <w:spacing w:before="0" w:beforeAutospacing="0" w:after="0" w:afterAutospacing="0"/>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（3）《浙江省政府采购电子卖场采购管理暂行办法》第三十二条第（二）款规定的其他情形。</w:t>
            </w:r>
          </w:p>
        </w:tc>
        <w:tc>
          <w:tcPr>
            <w:tcW w:w="5277" w:type="dxa"/>
            <w:vAlign w:val="center"/>
          </w:tcPr>
          <w:p w:rsidR="0078439B" w:rsidRPr="00D964DE" w:rsidRDefault="0078439B" w:rsidP="0078439B">
            <w:pPr>
              <w:pStyle w:val="a3"/>
              <w:spacing w:before="0" w:beforeAutospacing="0" w:after="0" w:afterAutospacing="0"/>
              <w:jc w:val="both"/>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（1）每次扣减诚信分值扣10分，累</w:t>
            </w:r>
            <w:r w:rsidRPr="00D964DE">
              <w:rPr>
                <w:rFonts w:asciiTheme="minorEastAsia" w:eastAsiaTheme="minorEastAsia" w:hAnsiTheme="minorEastAsia"/>
                <w:color w:val="000000"/>
                <w:sz w:val="32"/>
                <w:szCs w:val="32"/>
              </w:rPr>
              <w:br/>
              <w:t>计该项违规情形发生4次（含）</w:t>
            </w:r>
            <w:proofErr w:type="gramStart"/>
            <w:r w:rsidRPr="00D964DE">
              <w:rPr>
                <w:rFonts w:asciiTheme="minorEastAsia" w:eastAsiaTheme="minorEastAsia" w:hAnsiTheme="minorEastAsia"/>
                <w:color w:val="000000"/>
                <w:sz w:val="32"/>
                <w:szCs w:val="32"/>
              </w:rPr>
              <w:t>以上</w:t>
            </w:r>
            <w:proofErr w:type="gramEnd"/>
            <w:r w:rsidRPr="00D964DE">
              <w:rPr>
                <w:rFonts w:asciiTheme="minorEastAsia" w:eastAsiaTheme="minorEastAsia" w:hAnsiTheme="minorEastAsia"/>
                <w:color w:val="000000"/>
                <w:sz w:val="32"/>
                <w:szCs w:val="32"/>
              </w:rPr>
              <w:br/>
              <w:t>的，每次扣减12-16分诚信分，橙色</w:t>
            </w:r>
            <w:r w:rsidRPr="00D964DE">
              <w:rPr>
                <w:rFonts w:asciiTheme="minorEastAsia" w:eastAsiaTheme="minorEastAsia" w:hAnsiTheme="minorEastAsia"/>
                <w:color w:val="000000"/>
                <w:sz w:val="32"/>
                <w:szCs w:val="32"/>
              </w:rPr>
              <w:br/>
              <w:t xml:space="preserve">预警一次； </w:t>
            </w:r>
            <w:r w:rsidRPr="00D964DE">
              <w:rPr>
                <w:rFonts w:asciiTheme="minorEastAsia" w:eastAsiaTheme="minorEastAsia" w:hAnsiTheme="minorEastAsia"/>
                <w:color w:val="000000"/>
                <w:sz w:val="32"/>
                <w:szCs w:val="32"/>
              </w:rPr>
              <w:br/>
              <w:t>（2）暂停</w:t>
            </w:r>
            <w:proofErr w:type="gramStart"/>
            <w:r w:rsidRPr="00D964DE">
              <w:rPr>
                <w:rFonts w:asciiTheme="minorEastAsia" w:eastAsiaTheme="minorEastAsia" w:hAnsiTheme="minorEastAsia"/>
                <w:color w:val="000000"/>
                <w:sz w:val="32"/>
                <w:szCs w:val="32"/>
              </w:rPr>
              <w:t>一个月网超资格</w:t>
            </w:r>
            <w:proofErr w:type="gramEnd"/>
            <w:r w:rsidRPr="00D964DE">
              <w:rPr>
                <w:rFonts w:asciiTheme="minorEastAsia" w:eastAsiaTheme="minorEastAsia" w:hAnsiTheme="minorEastAsia"/>
                <w:color w:val="000000"/>
                <w:sz w:val="32"/>
                <w:szCs w:val="32"/>
              </w:rPr>
              <w:t xml:space="preserve">。 </w:t>
            </w:r>
          </w:p>
          <w:p w:rsidR="0012332A" w:rsidRPr="00D964DE" w:rsidRDefault="0012332A" w:rsidP="0078439B">
            <w:pPr>
              <w:rPr>
                <w:rFonts w:asciiTheme="minorEastAsia" w:hAnsiTheme="minorEastAsia"/>
                <w:sz w:val="32"/>
                <w:szCs w:val="32"/>
              </w:rPr>
            </w:pPr>
          </w:p>
        </w:tc>
      </w:tr>
      <w:tr w:rsidR="0012332A" w:rsidTr="00D964DE">
        <w:tc>
          <w:tcPr>
            <w:tcW w:w="1101" w:type="dxa"/>
            <w:vAlign w:val="center"/>
          </w:tcPr>
          <w:p w:rsidR="0012332A" w:rsidRPr="00D964DE" w:rsidRDefault="0012332A" w:rsidP="0078439B">
            <w:pPr>
              <w:jc w:val="center"/>
              <w:rPr>
                <w:rFonts w:asciiTheme="minorEastAsia" w:hAnsiTheme="minorEastAsia"/>
                <w:sz w:val="32"/>
                <w:szCs w:val="32"/>
              </w:rPr>
            </w:pPr>
            <w:r w:rsidRPr="00D964DE">
              <w:rPr>
                <w:rFonts w:asciiTheme="minorEastAsia" w:hAnsiTheme="minorEastAsia" w:hint="eastAsia"/>
                <w:sz w:val="32"/>
                <w:szCs w:val="32"/>
              </w:rPr>
              <w:lastRenderedPageBreak/>
              <w:t>4</w:t>
            </w:r>
          </w:p>
        </w:tc>
        <w:tc>
          <w:tcPr>
            <w:tcW w:w="8221" w:type="dxa"/>
            <w:vAlign w:val="center"/>
          </w:tcPr>
          <w:p w:rsidR="0012332A" w:rsidRPr="00D964DE" w:rsidRDefault="00D964DE" w:rsidP="00D964DE">
            <w:pPr>
              <w:pStyle w:val="a3"/>
              <w:jc w:val="both"/>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 xml:space="preserve">（1）网上超市商品销售价格高于同期大型电商自营商品平均销售价格高于30%（含）； </w:t>
            </w:r>
            <w:r w:rsidRPr="00D964DE">
              <w:rPr>
                <w:rFonts w:asciiTheme="minorEastAsia" w:eastAsiaTheme="minorEastAsia" w:hAnsiTheme="minorEastAsia"/>
                <w:color w:val="000000"/>
                <w:sz w:val="32"/>
                <w:szCs w:val="32"/>
              </w:rPr>
              <w:br/>
              <w:t xml:space="preserve">（2）同期因价格问题被橙色预警2次以上； </w:t>
            </w:r>
            <w:r w:rsidRPr="00D964DE">
              <w:rPr>
                <w:rFonts w:asciiTheme="minorEastAsia" w:eastAsiaTheme="minorEastAsia" w:hAnsiTheme="minorEastAsia"/>
                <w:color w:val="000000"/>
                <w:sz w:val="32"/>
                <w:szCs w:val="32"/>
              </w:rPr>
              <w:br/>
              <w:t>（3）《浙江省政府采购电子卖场采购管理暂行办法》第三十二条第（三）款规定的其他情形。</w:t>
            </w:r>
          </w:p>
        </w:tc>
        <w:tc>
          <w:tcPr>
            <w:tcW w:w="5277" w:type="dxa"/>
            <w:vAlign w:val="center"/>
          </w:tcPr>
          <w:p w:rsidR="0012332A" w:rsidRPr="00D964DE" w:rsidRDefault="00D964DE" w:rsidP="00D964DE">
            <w:pPr>
              <w:pStyle w:val="a3"/>
              <w:jc w:val="both"/>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 xml:space="preserve">（1）每次扣减诚信分值扣20分，累计该项违规情形发生4次（含）以上的，每次扣减22-26分诚信分，红色预警一次； </w:t>
            </w:r>
            <w:r w:rsidRPr="00D964DE">
              <w:rPr>
                <w:rFonts w:asciiTheme="minorEastAsia" w:eastAsiaTheme="minorEastAsia" w:hAnsiTheme="minorEastAsia"/>
                <w:color w:val="000000"/>
                <w:sz w:val="32"/>
                <w:szCs w:val="32"/>
              </w:rPr>
              <w:br/>
              <w:t>（2）暂停</w:t>
            </w:r>
            <w:proofErr w:type="gramStart"/>
            <w:r w:rsidRPr="00D964DE">
              <w:rPr>
                <w:rFonts w:asciiTheme="minorEastAsia" w:eastAsiaTheme="minorEastAsia" w:hAnsiTheme="minorEastAsia"/>
                <w:color w:val="000000"/>
                <w:sz w:val="32"/>
                <w:szCs w:val="32"/>
              </w:rPr>
              <w:t>三个月网超资格</w:t>
            </w:r>
            <w:proofErr w:type="gramEnd"/>
            <w:r w:rsidRPr="00D964DE">
              <w:rPr>
                <w:rFonts w:asciiTheme="minorEastAsia" w:eastAsiaTheme="minorEastAsia" w:hAnsiTheme="minorEastAsia"/>
                <w:color w:val="000000"/>
                <w:sz w:val="32"/>
                <w:szCs w:val="32"/>
              </w:rPr>
              <w:t>。</w:t>
            </w:r>
          </w:p>
        </w:tc>
      </w:tr>
      <w:tr w:rsidR="0012332A" w:rsidTr="00D964DE">
        <w:tc>
          <w:tcPr>
            <w:tcW w:w="1101" w:type="dxa"/>
            <w:vAlign w:val="center"/>
          </w:tcPr>
          <w:p w:rsidR="0012332A" w:rsidRPr="00D964DE" w:rsidRDefault="0012332A" w:rsidP="0078439B">
            <w:pPr>
              <w:jc w:val="center"/>
              <w:rPr>
                <w:rFonts w:asciiTheme="minorEastAsia" w:hAnsiTheme="minorEastAsia"/>
                <w:sz w:val="32"/>
                <w:szCs w:val="32"/>
              </w:rPr>
            </w:pPr>
            <w:r w:rsidRPr="00D964DE">
              <w:rPr>
                <w:rFonts w:asciiTheme="minorEastAsia" w:hAnsiTheme="minorEastAsia" w:hint="eastAsia"/>
                <w:sz w:val="32"/>
                <w:szCs w:val="32"/>
              </w:rPr>
              <w:t>5</w:t>
            </w:r>
          </w:p>
        </w:tc>
        <w:tc>
          <w:tcPr>
            <w:tcW w:w="8221" w:type="dxa"/>
            <w:vAlign w:val="center"/>
          </w:tcPr>
          <w:p w:rsidR="0012332A" w:rsidRPr="00D964DE" w:rsidRDefault="00D964DE" w:rsidP="00D964DE">
            <w:pPr>
              <w:pStyle w:val="a3"/>
              <w:jc w:val="both"/>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 xml:space="preserve">年度内诚信分累计扣分90分（含）以上的。 </w:t>
            </w:r>
          </w:p>
        </w:tc>
        <w:tc>
          <w:tcPr>
            <w:tcW w:w="5277" w:type="dxa"/>
            <w:vAlign w:val="center"/>
          </w:tcPr>
          <w:p w:rsidR="0012332A" w:rsidRPr="00D964DE" w:rsidRDefault="00D964DE" w:rsidP="00D964DE">
            <w:pPr>
              <w:pStyle w:val="a3"/>
              <w:jc w:val="both"/>
              <w:rPr>
                <w:rFonts w:asciiTheme="minorEastAsia" w:eastAsiaTheme="minorEastAsia" w:hAnsiTheme="minorEastAsia"/>
                <w:sz w:val="32"/>
                <w:szCs w:val="32"/>
              </w:rPr>
            </w:pPr>
            <w:proofErr w:type="gramStart"/>
            <w:r w:rsidRPr="00D964DE">
              <w:rPr>
                <w:rFonts w:asciiTheme="minorEastAsia" w:eastAsiaTheme="minorEastAsia" w:hAnsiTheme="minorEastAsia"/>
                <w:color w:val="000000"/>
                <w:sz w:val="32"/>
                <w:szCs w:val="32"/>
              </w:rPr>
              <w:t>取消网超资格</w:t>
            </w:r>
            <w:proofErr w:type="gramEnd"/>
            <w:r w:rsidRPr="00D964DE">
              <w:rPr>
                <w:rFonts w:asciiTheme="minorEastAsia" w:eastAsiaTheme="minorEastAsia" w:hAnsiTheme="minorEastAsia"/>
                <w:color w:val="000000"/>
                <w:sz w:val="32"/>
                <w:szCs w:val="32"/>
              </w:rPr>
              <w:t>，并限制6个月内不得</w:t>
            </w:r>
            <w:r w:rsidRPr="00D964DE">
              <w:rPr>
                <w:rFonts w:asciiTheme="minorEastAsia" w:eastAsiaTheme="minorEastAsia" w:hAnsiTheme="minorEastAsia"/>
                <w:color w:val="000000"/>
                <w:sz w:val="32"/>
                <w:szCs w:val="32"/>
              </w:rPr>
              <w:br/>
              <w:t>重新申请准入。</w:t>
            </w:r>
          </w:p>
        </w:tc>
      </w:tr>
      <w:tr w:rsidR="00D964DE" w:rsidTr="00E96F5F">
        <w:trPr>
          <w:trHeight w:val="429"/>
        </w:trPr>
        <w:tc>
          <w:tcPr>
            <w:tcW w:w="1101" w:type="dxa"/>
            <w:vAlign w:val="center"/>
          </w:tcPr>
          <w:p w:rsidR="00D964DE" w:rsidRPr="00D964DE" w:rsidRDefault="00D964DE" w:rsidP="0078439B">
            <w:pPr>
              <w:jc w:val="center"/>
              <w:rPr>
                <w:rFonts w:asciiTheme="minorEastAsia" w:hAnsiTheme="minorEastAsia"/>
                <w:sz w:val="32"/>
                <w:szCs w:val="32"/>
              </w:rPr>
            </w:pPr>
            <w:r w:rsidRPr="00D964DE">
              <w:rPr>
                <w:rFonts w:asciiTheme="minorEastAsia" w:hAnsiTheme="minorEastAsia" w:hint="eastAsia"/>
                <w:sz w:val="32"/>
                <w:szCs w:val="32"/>
              </w:rPr>
              <w:t>备注</w:t>
            </w:r>
          </w:p>
        </w:tc>
        <w:tc>
          <w:tcPr>
            <w:tcW w:w="13498" w:type="dxa"/>
            <w:gridSpan w:val="2"/>
          </w:tcPr>
          <w:p w:rsidR="00D964DE" w:rsidRPr="00D964DE" w:rsidRDefault="00D964DE" w:rsidP="00D964DE">
            <w:pPr>
              <w:pStyle w:val="a3"/>
              <w:rPr>
                <w:rFonts w:asciiTheme="minorEastAsia" w:eastAsiaTheme="minorEastAsia" w:hAnsiTheme="minorEastAsia"/>
                <w:sz w:val="32"/>
                <w:szCs w:val="32"/>
              </w:rPr>
            </w:pPr>
            <w:r w:rsidRPr="00D964DE">
              <w:rPr>
                <w:rFonts w:asciiTheme="minorEastAsia" w:eastAsiaTheme="minorEastAsia" w:hAnsiTheme="minorEastAsia"/>
                <w:color w:val="000000"/>
                <w:sz w:val="32"/>
                <w:szCs w:val="32"/>
              </w:rPr>
              <w:t>1.</w:t>
            </w:r>
            <w:r w:rsidRPr="00D964DE">
              <w:rPr>
                <w:rFonts w:asciiTheme="minorEastAsia" w:eastAsiaTheme="minorEastAsia" w:hAnsiTheme="minorEastAsia" w:cs="Helvetica"/>
                <w:color w:val="000000"/>
                <w:sz w:val="32"/>
                <w:szCs w:val="32"/>
              </w:rPr>
              <w:t xml:space="preserve"> </w:t>
            </w:r>
            <w:r w:rsidRPr="00D964DE">
              <w:rPr>
                <w:rFonts w:asciiTheme="minorEastAsia" w:eastAsiaTheme="minorEastAsia" w:hAnsiTheme="minorEastAsia"/>
                <w:color w:val="000000"/>
                <w:sz w:val="32"/>
                <w:szCs w:val="32"/>
              </w:rPr>
              <w:t xml:space="preserve">同期网上超市商品违法违规问题次数，按查实的商品个数计算。累计周期按自然年计算； </w:t>
            </w:r>
            <w:r w:rsidRPr="00D964DE">
              <w:rPr>
                <w:rFonts w:asciiTheme="minorEastAsia" w:eastAsiaTheme="minorEastAsia" w:hAnsiTheme="minorEastAsia"/>
                <w:color w:val="000000"/>
                <w:sz w:val="32"/>
                <w:szCs w:val="32"/>
              </w:rPr>
              <w:br/>
              <w:t>2.</w:t>
            </w:r>
            <w:r w:rsidRPr="00D964DE">
              <w:rPr>
                <w:rFonts w:asciiTheme="minorEastAsia" w:eastAsiaTheme="minorEastAsia" w:hAnsiTheme="minorEastAsia" w:cs="Helvetica"/>
                <w:color w:val="000000"/>
                <w:sz w:val="32"/>
                <w:szCs w:val="32"/>
              </w:rPr>
              <w:t xml:space="preserve"> </w:t>
            </w:r>
            <w:r w:rsidRPr="00D964DE">
              <w:rPr>
                <w:rFonts w:asciiTheme="minorEastAsia" w:eastAsiaTheme="minorEastAsia" w:hAnsiTheme="minorEastAsia"/>
                <w:color w:val="000000"/>
                <w:sz w:val="32"/>
                <w:szCs w:val="32"/>
              </w:rPr>
              <w:t>同期一家供应</w:t>
            </w:r>
            <w:proofErr w:type="gramStart"/>
            <w:r w:rsidRPr="00D964DE">
              <w:rPr>
                <w:rFonts w:asciiTheme="minorEastAsia" w:eastAsiaTheme="minorEastAsia" w:hAnsiTheme="minorEastAsia"/>
                <w:color w:val="000000"/>
                <w:sz w:val="32"/>
                <w:szCs w:val="32"/>
              </w:rPr>
              <w:t>商存在</w:t>
            </w:r>
            <w:proofErr w:type="gramEnd"/>
            <w:r w:rsidRPr="00D964DE">
              <w:rPr>
                <w:rFonts w:asciiTheme="minorEastAsia" w:eastAsiaTheme="minorEastAsia" w:hAnsiTheme="minorEastAsia"/>
                <w:color w:val="000000"/>
                <w:sz w:val="32"/>
                <w:szCs w:val="32"/>
              </w:rPr>
              <w:t xml:space="preserve">多条违规处理情形的，暂停期限按最高违规处理但不累加期限，但诚信分扣分累加计算； </w:t>
            </w:r>
            <w:r w:rsidRPr="00D964DE">
              <w:rPr>
                <w:rFonts w:asciiTheme="minorEastAsia" w:eastAsiaTheme="minorEastAsia" w:hAnsiTheme="minorEastAsia"/>
                <w:color w:val="000000"/>
                <w:sz w:val="32"/>
                <w:szCs w:val="32"/>
              </w:rPr>
              <w:br/>
              <w:t>3.</w:t>
            </w:r>
            <w:r w:rsidRPr="00D964DE">
              <w:rPr>
                <w:rFonts w:asciiTheme="minorEastAsia" w:eastAsiaTheme="minorEastAsia" w:hAnsiTheme="minorEastAsia" w:cs="Helvetica"/>
                <w:color w:val="000000"/>
                <w:sz w:val="32"/>
                <w:szCs w:val="32"/>
              </w:rPr>
              <w:t xml:space="preserve"> </w:t>
            </w:r>
            <w:r w:rsidRPr="00D964DE">
              <w:rPr>
                <w:rFonts w:asciiTheme="minorEastAsia" w:eastAsiaTheme="minorEastAsia" w:hAnsiTheme="minorEastAsia"/>
                <w:color w:val="000000"/>
                <w:sz w:val="32"/>
                <w:szCs w:val="32"/>
              </w:rPr>
              <w:t>商品冻结情形可进行简易处理，直接通过“政</w:t>
            </w:r>
            <w:proofErr w:type="gramStart"/>
            <w:r w:rsidRPr="00D964DE">
              <w:rPr>
                <w:rFonts w:asciiTheme="minorEastAsia" w:eastAsiaTheme="minorEastAsia" w:hAnsiTheme="minorEastAsia"/>
                <w:color w:val="000000"/>
                <w:sz w:val="32"/>
                <w:szCs w:val="32"/>
              </w:rPr>
              <w:t>采云</w:t>
            </w:r>
            <w:proofErr w:type="gramEnd"/>
            <w:r w:rsidRPr="00D964DE">
              <w:rPr>
                <w:rFonts w:asciiTheme="minorEastAsia" w:eastAsiaTheme="minorEastAsia" w:hAnsiTheme="minorEastAsia"/>
                <w:color w:val="000000"/>
                <w:sz w:val="32"/>
                <w:szCs w:val="32"/>
              </w:rPr>
              <w:t xml:space="preserve">”平台进行冻结处理； </w:t>
            </w:r>
            <w:r w:rsidRPr="00D964DE">
              <w:rPr>
                <w:rFonts w:asciiTheme="minorEastAsia" w:eastAsiaTheme="minorEastAsia" w:hAnsiTheme="minorEastAsia"/>
                <w:color w:val="000000"/>
                <w:sz w:val="32"/>
                <w:szCs w:val="32"/>
              </w:rPr>
              <w:br/>
              <w:t>4.</w:t>
            </w:r>
            <w:r w:rsidRPr="00D964DE">
              <w:rPr>
                <w:rFonts w:asciiTheme="minorEastAsia" w:eastAsiaTheme="minorEastAsia" w:hAnsiTheme="minorEastAsia" w:cs="Helvetica"/>
                <w:color w:val="000000"/>
                <w:sz w:val="32"/>
                <w:szCs w:val="32"/>
              </w:rPr>
              <w:t xml:space="preserve"> </w:t>
            </w:r>
            <w:r w:rsidRPr="00D964DE">
              <w:rPr>
                <w:rFonts w:asciiTheme="minorEastAsia" w:eastAsiaTheme="minorEastAsia" w:hAnsiTheme="minorEastAsia"/>
                <w:color w:val="000000"/>
                <w:sz w:val="32"/>
                <w:szCs w:val="32"/>
              </w:rPr>
              <w:t>违规供应商未及时整改或整改审核不通过的，按《浙江省政府采购电子卖场采购管理暂行办法》、浙江省网上超市供应商承诺书进行处理。</w:t>
            </w:r>
          </w:p>
        </w:tc>
      </w:tr>
    </w:tbl>
    <w:p w:rsidR="009065FF" w:rsidRPr="0012332A" w:rsidRDefault="009065FF"/>
    <w:sectPr w:rsidR="009065FF" w:rsidRPr="0012332A" w:rsidSect="00D964DE">
      <w:pgSz w:w="16838" w:h="11906" w:orient="landscape"/>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BCDEE+方正小标宋_GBK">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61"/>
    <w:rsid w:val="0012332A"/>
    <w:rsid w:val="0078439B"/>
    <w:rsid w:val="009065FF"/>
    <w:rsid w:val="00943861"/>
    <w:rsid w:val="00D9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332A"/>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123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332A"/>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123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335">
      <w:bodyDiv w:val="1"/>
      <w:marLeft w:val="0"/>
      <w:marRight w:val="0"/>
      <w:marTop w:val="0"/>
      <w:marBottom w:val="0"/>
      <w:divBdr>
        <w:top w:val="none" w:sz="0" w:space="0" w:color="auto"/>
        <w:left w:val="none" w:sz="0" w:space="0" w:color="auto"/>
        <w:bottom w:val="none" w:sz="0" w:space="0" w:color="auto"/>
        <w:right w:val="none" w:sz="0" w:space="0" w:color="auto"/>
      </w:divBdr>
    </w:div>
    <w:div w:id="120922042">
      <w:bodyDiv w:val="1"/>
      <w:marLeft w:val="0"/>
      <w:marRight w:val="0"/>
      <w:marTop w:val="0"/>
      <w:marBottom w:val="0"/>
      <w:divBdr>
        <w:top w:val="none" w:sz="0" w:space="0" w:color="auto"/>
        <w:left w:val="none" w:sz="0" w:space="0" w:color="auto"/>
        <w:bottom w:val="none" w:sz="0" w:space="0" w:color="auto"/>
        <w:right w:val="none" w:sz="0" w:space="0" w:color="auto"/>
      </w:divBdr>
    </w:div>
    <w:div w:id="186257116">
      <w:bodyDiv w:val="1"/>
      <w:marLeft w:val="0"/>
      <w:marRight w:val="0"/>
      <w:marTop w:val="0"/>
      <w:marBottom w:val="0"/>
      <w:divBdr>
        <w:top w:val="none" w:sz="0" w:space="0" w:color="auto"/>
        <w:left w:val="none" w:sz="0" w:space="0" w:color="auto"/>
        <w:bottom w:val="none" w:sz="0" w:space="0" w:color="auto"/>
        <w:right w:val="none" w:sz="0" w:space="0" w:color="auto"/>
      </w:divBdr>
    </w:div>
    <w:div w:id="229733773">
      <w:bodyDiv w:val="1"/>
      <w:marLeft w:val="0"/>
      <w:marRight w:val="0"/>
      <w:marTop w:val="0"/>
      <w:marBottom w:val="0"/>
      <w:divBdr>
        <w:top w:val="none" w:sz="0" w:space="0" w:color="auto"/>
        <w:left w:val="none" w:sz="0" w:space="0" w:color="auto"/>
        <w:bottom w:val="none" w:sz="0" w:space="0" w:color="auto"/>
        <w:right w:val="none" w:sz="0" w:space="0" w:color="auto"/>
      </w:divBdr>
    </w:div>
    <w:div w:id="349331773">
      <w:bodyDiv w:val="1"/>
      <w:marLeft w:val="0"/>
      <w:marRight w:val="0"/>
      <w:marTop w:val="0"/>
      <w:marBottom w:val="0"/>
      <w:divBdr>
        <w:top w:val="none" w:sz="0" w:space="0" w:color="auto"/>
        <w:left w:val="none" w:sz="0" w:space="0" w:color="auto"/>
        <w:bottom w:val="none" w:sz="0" w:space="0" w:color="auto"/>
        <w:right w:val="none" w:sz="0" w:space="0" w:color="auto"/>
      </w:divBdr>
    </w:div>
    <w:div w:id="360398807">
      <w:bodyDiv w:val="1"/>
      <w:marLeft w:val="0"/>
      <w:marRight w:val="0"/>
      <w:marTop w:val="0"/>
      <w:marBottom w:val="0"/>
      <w:divBdr>
        <w:top w:val="none" w:sz="0" w:space="0" w:color="auto"/>
        <w:left w:val="none" w:sz="0" w:space="0" w:color="auto"/>
        <w:bottom w:val="none" w:sz="0" w:space="0" w:color="auto"/>
        <w:right w:val="none" w:sz="0" w:space="0" w:color="auto"/>
      </w:divBdr>
    </w:div>
    <w:div w:id="648435432">
      <w:bodyDiv w:val="1"/>
      <w:marLeft w:val="0"/>
      <w:marRight w:val="0"/>
      <w:marTop w:val="0"/>
      <w:marBottom w:val="0"/>
      <w:divBdr>
        <w:top w:val="none" w:sz="0" w:space="0" w:color="auto"/>
        <w:left w:val="none" w:sz="0" w:space="0" w:color="auto"/>
        <w:bottom w:val="none" w:sz="0" w:space="0" w:color="auto"/>
        <w:right w:val="none" w:sz="0" w:space="0" w:color="auto"/>
      </w:divBdr>
    </w:div>
    <w:div w:id="975066105">
      <w:bodyDiv w:val="1"/>
      <w:marLeft w:val="0"/>
      <w:marRight w:val="0"/>
      <w:marTop w:val="0"/>
      <w:marBottom w:val="0"/>
      <w:divBdr>
        <w:top w:val="none" w:sz="0" w:space="0" w:color="auto"/>
        <w:left w:val="none" w:sz="0" w:space="0" w:color="auto"/>
        <w:bottom w:val="none" w:sz="0" w:space="0" w:color="auto"/>
        <w:right w:val="none" w:sz="0" w:space="0" w:color="auto"/>
      </w:divBdr>
    </w:div>
    <w:div w:id="1025866464">
      <w:bodyDiv w:val="1"/>
      <w:marLeft w:val="0"/>
      <w:marRight w:val="0"/>
      <w:marTop w:val="0"/>
      <w:marBottom w:val="0"/>
      <w:divBdr>
        <w:top w:val="none" w:sz="0" w:space="0" w:color="auto"/>
        <w:left w:val="none" w:sz="0" w:space="0" w:color="auto"/>
        <w:bottom w:val="none" w:sz="0" w:space="0" w:color="auto"/>
        <w:right w:val="none" w:sz="0" w:space="0" w:color="auto"/>
      </w:divBdr>
    </w:div>
    <w:div w:id="1339770691">
      <w:bodyDiv w:val="1"/>
      <w:marLeft w:val="0"/>
      <w:marRight w:val="0"/>
      <w:marTop w:val="0"/>
      <w:marBottom w:val="0"/>
      <w:divBdr>
        <w:top w:val="none" w:sz="0" w:space="0" w:color="auto"/>
        <w:left w:val="none" w:sz="0" w:space="0" w:color="auto"/>
        <w:bottom w:val="none" w:sz="0" w:space="0" w:color="auto"/>
        <w:right w:val="none" w:sz="0" w:space="0" w:color="auto"/>
      </w:divBdr>
    </w:div>
    <w:div w:id="1343705172">
      <w:bodyDiv w:val="1"/>
      <w:marLeft w:val="0"/>
      <w:marRight w:val="0"/>
      <w:marTop w:val="0"/>
      <w:marBottom w:val="0"/>
      <w:divBdr>
        <w:top w:val="none" w:sz="0" w:space="0" w:color="auto"/>
        <w:left w:val="none" w:sz="0" w:space="0" w:color="auto"/>
        <w:bottom w:val="none" w:sz="0" w:space="0" w:color="auto"/>
        <w:right w:val="none" w:sz="0" w:space="0" w:color="auto"/>
      </w:divBdr>
    </w:div>
    <w:div w:id="1828982671">
      <w:bodyDiv w:val="1"/>
      <w:marLeft w:val="0"/>
      <w:marRight w:val="0"/>
      <w:marTop w:val="0"/>
      <w:marBottom w:val="0"/>
      <w:divBdr>
        <w:top w:val="none" w:sz="0" w:space="0" w:color="auto"/>
        <w:left w:val="none" w:sz="0" w:space="0" w:color="auto"/>
        <w:bottom w:val="none" w:sz="0" w:space="0" w:color="auto"/>
        <w:right w:val="none" w:sz="0" w:space="0" w:color="auto"/>
      </w:divBdr>
    </w:div>
    <w:div w:id="1884632228">
      <w:bodyDiv w:val="1"/>
      <w:marLeft w:val="0"/>
      <w:marRight w:val="0"/>
      <w:marTop w:val="0"/>
      <w:marBottom w:val="0"/>
      <w:divBdr>
        <w:top w:val="none" w:sz="0" w:space="0" w:color="auto"/>
        <w:left w:val="none" w:sz="0" w:space="0" w:color="auto"/>
        <w:bottom w:val="none" w:sz="0" w:space="0" w:color="auto"/>
        <w:right w:val="none" w:sz="0" w:space="0" w:color="auto"/>
      </w:divBdr>
    </w:div>
    <w:div w:id="1966156435">
      <w:bodyDiv w:val="1"/>
      <w:marLeft w:val="0"/>
      <w:marRight w:val="0"/>
      <w:marTop w:val="0"/>
      <w:marBottom w:val="0"/>
      <w:divBdr>
        <w:top w:val="none" w:sz="0" w:space="0" w:color="auto"/>
        <w:left w:val="none" w:sz="0" w:space="0" w:color="auto"/>
        <w:bottom w:val="none" w:sz="0" w:space="0" w:color="auto"/>
        <w:right w:val="none" w:sz="0" w:space="0" w:color="auto"/>
      </w:divBdr>
    </w:div>
    <w:div w:id="21359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127</Words>
  <Characters>727</Characters>
  <Application>Microsoft Office Word</Application>
  <DocSecurity>0</DocSecurity>
  <Lines>6</Lines>
  <Paragraphs>1</Paragraphs>
  <ScaleCrop>false</ScaleCrop>
  <Company>Microsoft</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2020-12-17T06:03:00Z</dcterms:created>
  <dcterms:modified xsi:type="dcterms:W3CDTF">2020-12-17T06:31:00Z</dcterms:modified>
</cp:coreProperties>
</file>